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widowControl/>
        <w:spacing w:after="160" w:line="259" w:lineRule="auto"/>
        <w:rPr>
          <w:rFonts w:ascii="CamberW04-Regular" w:hAnsi="CamberW04-Regular" w:eastAsia="CamberW04-Regular" w:cs="CamberW04-Regular"/>
        </w:rPr>
      </w:pPr>
      <w:bookmarkStart w:id="0" w:name="_heading=h.gjdgxs" w:colFirst="0" w:colLast="0"/>
      <w:bookmarkEnd w:id="0"/>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br w:type="page"/>
      </w:r>
    </w:p>
    <w:p w14:paraId="00000002">
      <w:pPr>
        <w:ind w:right="63"/>
        <w:jc w:val="both"/>
        <w:rPr>
          <w:rFonts w:ascii="CamberW04-Regular" w:hAnsi="CamberW04-Regular" w:eastAsia="CamberW04-Regular" w:cs="CamberW04-Regular"/>
        </w:rPr>
      </w:pPr>
    </w:p>
    <w:sdt>
      <w:sdtPr>
        <w:rPr>
          <w:rFonts w:ascii="Calibri" w:hAnsi="Calibri" w:eastAsia="Calibri" w:cs="Calibri"/>
          <w:color w:val="auto"/>
          <w:spacing w:val="0"/>
          <w:sz w:val="22"/>
          <w:szCs w:val="22"/>
        </w:rPr>
        <w:id w:val="-359358563"/>
        <w:docPartObj>
          <w:docPartGallery w:val="Table of Contents"/>
          <w:docPartUnique/>
        </w:docPartObj>
      </w:sdtPr>
      <w:sdtEndPr>
        <w:rPr>
          <w:rFonts w:ascii="Calibri" w:hAnsi="Calibri" w:eastAsia="Calibri" w:cs="Calibri"/>
          <w:b/>
          <w:bCs/>
          <w:color w:val="auto"/>
          <w:spacing w:val="0"/>
          <w:sz w:val="22"/>
          <w:szCs w:val="22"/>
        </w:rPr>
      </w:sdtEndPr>
      <w:sdtContent>
        <w:p w14:paraId="71A0012E">
          <w:pPr>
            <w:pStyle w:val="55"/>
            <w:rPr>
              <w:b/>
              <w:bCs/>
            </w:rPr>
          </w:pPr>
          <w:r>
            <w:rPr>
              <w:b/>
              <w:bCs/>
            </w:rPr>
            <w:t>İçindekiler</w:t>
          </w:r>
        </w:p>
        <w:p w14:paraId="107BA236">
          <w:pPr>
            <w:pStyle w:val="26"/>
            <w:tabs>
              <w:tab w:val="right" w:leader="dot" w:pos="9358"/>
            </w:tabs>
            <w:rPr>
              <w:rFonts w:asciiTheme="minorHAnsi" w:hAnsiTheme="minorHAnsi" w:eastAsiaTheme="minorEastAsia" w:cstheme="minorBidi"/>
              <w:b w:val="0"/>
              <w:bCs w:val="0"/>
            </w:rPr>
          </w:pPr>
          <w:r>
            <w:fldChar w:fldCharType="begin"/>
          </w:r>
          <w:r>
            <w:instrText xml:space="preserve"> TOC \o "1-3" \h \z \u </w:instrText>
          </w:r>
          <w:r>
            <w:fldChar w:fldCharType="separate"/>
          </w:r>
          <w:r>
            <w:fldChar w:fldCharType="begin"/>
          </w:r>
          <w:r>
            <w:instrText xml:space="preserve"> HYPERLINK \l "_Toc154652304" </w:instrText>
          </w:r>
          <w:r>
            <w:fldChar w:fldCharType="separate"/>
          </w:r>
          <w:r>
            <w:rPr>
              <w:rStyle w:val="20"/>
            </w:rPr>
            <w:t>GENEL BİLGİLER</w:t>
          </w:r>
          <w:r>
            <w:tab/>
          </w:r>
          <w:r>
            <w:fldChar w:fldCharType="begin"/>
          </w:r>
          <w:r>
            <w:instrText xml:space="preserve"> PAGEREF _Toc154652304 \h </w:instrText>
          </w:r>
          <w:r>
            <w:fldChar w:fldCharType="separate"/>
          </w:r>
          <w:r>
            <w:t>3</w:t>
          </w:r>
          <w:r>
            <w:fldChar w:fldCharType="end"/>
          </w:r>
          <w:r>
            <w:fldChar w:fldCharType="end"/>
          </w:r>
        </w:p>
        <w:p w14:paraId="720A9AD3">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"_Toc154652305" </w:instrText>
          </w:r>
          <w:r>
            <w:fldChar w:fldCharType="separate"/>
          </w:r>
          <w:r>
            <w:rPr>
              <w:rStyle w:val="20"/>
            </w:rPr>
            <w:t>Giriş</w:t>
          </w:r>
          <w:r>
            <w:tab/>
          </w:r>
          <w:r>
            <w:fldChar w:fldCharType="begin"/>
          </w:r>
          <w:r>
            <w:instrText xml:space="preserve"> PAGEREF _Toc154652305 \h </w:instrText>
          </w:r>
          <w:r>
            <w:fldChar w:fldCharType="separate"/>
          </w:r>
          <w:r>
            <w:t>3</w:t>
          </w:r>
          <w:r>
            <w:fldChar w:fldCharType="end"/>
          </w:r>
          <w:r>
            <w:fldChar w:fldCharType="end"/>
          </w:r>
        </w:p>
        <w:p w14:paraId="1BE28D1C">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"_Toc154652306" </w:instrText>
          </w:r>
          <w:r>
            <w:fldChar w:fldCharType="separate"/>
          </w:r>
          <w:r>
            <w:rPr>
              <w:rStyle w:val="20"/>
            </w:rPr>
            <w:t>Amaç</w:t>
          </w:r>
          <w:r>
            <w:tab/>
          </w:r>
          <w:r>
            <w:fldChar w:fldCharType="begin"/>
          </w:r>
          <w:r>
            <w:instrText xml:space="preserve"> PAGEREF _Toc154652306 \h </w:instrText>
          </w:r>
          <w:r>
            <w:fldChar w:fldCharType="separate"/>
          </w:r>
          <w:r>
            <w:t>3</w:t>
          </w:r>
          <w:r>
            <w:fldChar w:fldCharType="end"/>
          </w:r>
          <w:r>
            <w:fldChar w:fldCharType="end"/>
          </w:r>
        </w:p>
        <w:p w14:paraId="5D4C39C5">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"_Toc154652307" </w:instrText>
          </w:r>
          <w:r>
            <w:fldChar w:fldCharType="separate"/>
          </w:r>
          <w:r>
            <w:rPr>
              <w:rStyle w:val="20"/>
            </w:rPr>
            <w:t>İçerik</w:t>
          </w:r>
          <w:r>
            <w:tab/>
          </w:r>
          <w:r>
            <w:fldChar w:fldCharType="begin"/>
          </w:r>
          <w:r>
            <w:instrText xml:space="preserve"> PAGEREF _Toc154652307 \h </w:instrText>
          </w:r>
          <w:r>
            <w:fldChar w:fldCharType="separate"/>
          </w:r>
          <w:r>
            <w:t>3</w:t>
          </w:r>
          <w:r>
            <w:fldChar w:fldCharType="end"/>
          </w:r>
          <w:r>
            <w:fldChar w:fldCharType="end"/>
          </w:r>
        </w:p>
        <w:p w14:paraId="50512929">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"_Toc154652308" </w:instrText>
          </w:r>
          <w:r>
            <w:fldChar w:fldCharType="separate"/>
          </w:r>
          <w:r>
            <w:rPr>
              <w:rStyle w:val="20"/>
            </w:rPr>
            <w:t>Raporun Hazırlanması ve Yayımlanması</w:t>
          </w:r>
          <w:r>
            <w:tab/>
          </w:r>
          <w:r>
            <w:fldChar w:fldCharType="begin"/>
          </w:r>
          <w:r>
            <w:instrText xml:space="preserve"> PAGEREF _Toc154652308 \h </w:instrText>
          </w:r>
          <w:r>
            <w:fldChar w:fldCharType="separate"/>
          </w:r>
          <w:r>
            <w:t>4</w:t>
          </w:r>
          <w:r>
            <w:fldChar w:fldCharType="end"/>
          </w:r>
          <w:r>
            <w:fldChar w:fldCharType="end"/>
          </w:r>
        </w:p>
        <w:p w14:paraId="54A4E7A1">
          <w:pPr>
            <w:pStyle w:val="26"/>
            <w:tabs>
              <w:tab w:val="right" w:leader="dot" w:pos="9358"/>
            </w:tabs>
            <w:rPr>
              <w:rFonts w:asciiTheme="minorHAnsi" w:hAnsiTheme="minorHAnsi" w:eastAsiaTheme="minorEastAsia" w:cstheme="minorBidi"/>
              <w:b w:val="0"/>
              <w:bCs w:val="0"/>
            </w:rPr>
          </w:pPr>
          <w:r>
            <w:fldChar w:fldCharType="begin"/>
          </w:r>
          <w:r>
            <w:instrText xml:space="preserve"> HYPERLINK \l "_Toc154652309" </w:instrText>
          </w:r>
          <w:r>
            <w:fldChar w:fldCharType="separate"/>
          </w:r>
          <w:r>
            <w:rPr>
              <w:rStyle w:val="20"/>
            </w:rPr>
            <w:t>EK.1 KURUM İÇ DEĞERLENDİRME RAPORU ŞABLONU</w:t>
          </w:r>
          <w:r>
            <w:tab/>
          </w:r>
          <w:r>
            <w:fldChar w:fldCharType="begin"/>
          </w:r>
          <w:r>
            <w:instrText xml:space="preserve"> PAGEREF _Toc154652309 \h </w:instrText>
          </w:r>
          <w:r>
            <w:fldChar w:fldCharType="separate"/>
          </w:r>
          <w:r>
            <w:t>8</w:t>
          </w:r>
          <w:r>
            <w:fldChar w:fldCharType="end"/>
          </w:r>
          <w:r>
            <w:fldChar w:fldCharType="end"/>
          </w:r>
        </w:p>
        <w:p w14:paraId="5556EE3E">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"_Toc154652310" </w:instrText>
          </w:r>
          <w:r>
            <w:fldChar w:fldCharType="separate"/>
          </w:r>
          <w:r>
            <w:rPr>
              <w:rStyle w:val="20"/>
            </w:rPr>
            <w:t>Özet</w:t>
          </w:r>
          <w:r>
            <w:tab/>
          </w:r>
          <w:r>
            <w:fldChar w:fldCharType="begin"/>
          </w:r>
          <w:r>
            <w:instrText xml:space="preserve"> PAGEREF _Toc154652310 \h </w:instrText>
          </w:r>
          <w:r>
            <w:fldChar w:fldCharType="separate"/>
          </w:r>
          <w:r>
            <w:t>8</w:t>
          </w:r>
          <w:r>
            <w:fldChar w:fldCharType="end"/>
          </w:r>
          <w:r>
            <w:fldChar w:fldCharType="end"/>
          </w:r>
        </w:p>
        <w:p w14:paraId="02FEA9CD">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"_Toc154652311" </w:instrText>
          </w:r>
          <w:r>
            <w:fldChar w:fldCharType="separate"/>
          </w:r>
          <w:r>
            <w:rPr>
              <w:rStyle w:val="20"/>
            </w:rPr>
            <w:t>Kurum Hakkında Bilgiler</w:t>
          </w:r>
          <w:r>
            <w:tab/>
          </w:r>
          <w:r>
            <w:fldChar w:fldCharType="begin"/>
          </w:r>
          <w:r>
            <w:instrText xml:space="preserve"> PAGEREF _Toc154652311 \h </w:instrText>
          </w:r>
          <w:r>
            <w:fldChar w:fldCharType="separate"/>
          </w:r>
          <w:r>
            <w:t>8</w:t>
          </w:r>
          <w:r>
            <w:fldChar w:fldCharType="end"/>
          </w:r>
          <w:r>
            <w:fldChar w:fldCharType="end"/>
          </w:r>
        </w:p>
        <w:p w14:paraId="7EC4D8D0">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"_Toc154652312" </w:instrText>
          </w:r>
          <w:r>
            <w:fldChar w:fldCharType="separate"/>
          </w:r>
          <w:r>
            <w:rPr>
              <w:rStyle w:val="20"/>
            </w:rPr>
            <w:t>Sonuç ve Değerlendirme</w:t>
          </w:r>
          <w:r>
            <w:tab/>
          </w:r>
          <w:r>
            <w:fldChar w:fldCharType="begin"/>
          </w:r>
          <w:r>
            <w:instrText xml:space="preserve"> PAGEREF _Toc154652312 \h </w:instrText>
          </w:r>
          <w:r>
            <w:fldChar w:fldCharType="separate"/>
          </w:r>
          <w:r>
            <w:t>8</w:t>
          </w:r>
          <w:r>
            <w:fldChar w:fldCharType="end"/>
          </w:r>
          <w:r>
            <w:fldChar w:fldCharType="end"/>
          </w:r>
        </w:p>
        <w:p w14:paraId="60BE9E5F">
          <w:pPr>
            <w:pStyle w:val="26"/>
            <w:tabs>
              <w:tab w:val="right" w:leader="dot" w:pos="9358"/>
            </w:tabs>
            <w:rPr>
              <w:rFonts w:asciiTheme="minorHAnsi" w:hAnsiTheme="minorHAnsi" w:eastAsiaTheme="minorEastAsia" w:cstheme="minorBidi"/>
              <w:b w:val="0"/>
              <w:bCs w:val="0"/>
            </w:rPr>
          </w:pPr>
          <w:r>
            <w:fldChar w:fldCharType="begin"/>
          </w:r>
          <w:r>
            <w:instrText xml:space="preserve"> HYPERLINK \l "_Toc154652313" </w:instrText>
          </w:r>
          <w:r>
            <w:fldChar w:fldCharType="separate"/>
          </w:r>
          <w:r>
            <w:rPr>
              <w:rStyle w:val="20"/>
            </w:rPr>
            <w:t>EK.2 KURUM İÇ DEĞERLENDİRME RAPORU YAZIM KILAVUZU</w:t>
          </w:r>
          <w:r>
            <w:tab/>
          </w:r>
          <w:r>
            <w:fldChar w:fldCharType="begin"/>
          </w:r>
          <w:r>
            <w:instrText xml:space="preserve"> PAGEREF _Toc154652313 \h </w:instrText>
          </w:r>
          <w:r>
            <w:fldChar w:fldCharType="separate"/>
          </w:r>
          <w:r>
            <w:t>9</w:t>
          </w:r>
          <w:r>
            <w:fldChar w:fldCharType="end"/>
          </w:r>
          <w:r>
            <w:fldChar w:fldCharType="end"/>
          </w:r>
        </w:p>
        <w:p w14:paraId="0BCE8831">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"_Toc154652314" </w:instrText>
          </w:r>
          <w:r>
            <w:fldChar w:fldCharType="separate"/>
          </w:r>
          <w:r>
            <w:rPr>
              <w:rStyle w:val="20"/>
            </w:rPr>
            <w:t>1. Genel Beklentiler</w:t>
          </w:r>
          <w:r>
            <w:tab/>
          </w:r>
          <w:r>
            <w:fldChar w:fldCharType="begin"/>
          </w:r>
          <w:r>
            <w:instrText xml:space="preserve"> PAGEREF _Toc154652314 \h </w:instrText>
          </w:r>
          <w:r>
            <w:fldChar w:fldCharType="separate"/>
          </w:r>
          <w:r>
            <w:t>9</w:t>
          </w:r>
          <w:r>
            <w:fldChar w:fldCharType="end"/>
          </w:r>
          <w:r>
            <w:fldChar w:fldCharType="end"/>
          </w:r>
        </w:p>
        <w:p w14:paraId="0D4B85F0">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"_Toc154652315" </w:instrText>
          </w:r>
          <w:r>
            <w:fldChar w:fldCharType="separate"/>
          </w:r>
          <w:r>
            <w:rPr>
              <w:rStyle w:val="20"/>
            </w:rPr>
            <w:t>2. KİDR Yazım Biçimi</w:t>
          </w:r>
          <w:r>
            <w:tab/>
          </w:r>
          <w:r>
            <w:fldChar w:fldCharType="begin"/>
          </w:r>
          <w:r>
            <w:instrText xml:space="preserve"> PAGEREF _Toc154652315 \h </w:instrText>
          </w:r>
          <w:r>
            <w:fldChar w:fldCharType="separate"/>
          </w:r>
          <w:r>
            <w:t>10</w:t>
          </w:r>
          <w:r>
            <w:fldChar w:fldCharType="end"/>
          </w:r>
          <w:r>
            <w:fldChar w:fldCharType="end"/>
          </w:r>
        </w:p>
        <w:p w14:paraId="255DFC44">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"_Toc154652316" </w:instrText>
          </w:r>
          <w:r>
            <w:fldChar w:fldCharType="separate"/>
          </w:r>
          <w:r>
            <w:rPr>
              <w:rStyle w:val="20"/>
            </w:rPr>
            <w:t>3. Kanıt Kullanımı</w:t>
          </w:r>
          <w:r>
            <w:tab/>
          </w:r>
          <w:r>
            <w:fldChar w:fldCharType="begin"/>
          </w:r>
          <w:r>
            <w:instrText xml:space="preserve"> PAGEREF _Toc154652316 \h </w:instrText>
          </w:r>
          <w:r>
            <w:fldChar w:fldCharType="separate"/>
          </w:r>
          <w:r>
            <w:t>11</w:t>
          </w:r>
          <w:r>
            <w:fldChar w:fldCharType="end"/>
          </w:r>
          <w:r>
            <w:fldChar w:fldCharType="end"/>
          </w:r>
        </w:p>
        <w:p w14:paraId="21A37966">
          <w:pPr>
            <w:pStyle w:val="26"/>
            <w:tabs>
              <w:tab w:val="right" w:leader="dot" w:pos="9358"/>
            </w:tabs>
            <w:rPr>
              <w:rFonts w:asciiTheme="minorHAnsi" w:hAnsiTheme="minorHAnsi" w:eastAsiaTheme="minorEastAsia" w:cstheme="minorBidi"/>
              <w:b w:val="0"/>
              <w:bCs w:val="0"/>
            </w:rPr>
          </w:pPr>
          <w:r>
            <w:fldChar w:fldCharType="begin"/>
          </w:r>
          <w:r>
            <w:instrText xml:space="preserve"> HYPERLINK \l "_Toc154652317" </w:instrText>
          </w:r>
          <w:r>
            <w:fldChar w:fldCharType="separate"/>
          </w:r>
          <w:r>
            <w:rPr>
              <w:rStyle w:val="20"/>
              <w:rFonts w:eastAsia="CamberW04-Regular"/>
            </w:rPr>
            <w:t>SÜRÜM NOTLARI</w:t>
          </w:r>
          <w:r>
            <w:tab/>
          </w:r>
          <w:r>
            <w:fldChar w:fldCharType="begin"/>
          </w:r>
          <w:r>
            <w:instrText xml:space="preserve"> PAGEREF _Toc154652317 \h </w:instrText>
          </w:r>
          <w:r>
            <w:fldChar w:fldCharType="separate"/>
          </w:r>
          <w:r>
            <w:t>12</w:t>
          </w:r>
          <w:r>
            <w:fldChar w:fldCharType="end"/>
          </w:r>
          <w:r>
            <w:fldChar w:fldCharType="end"/>
          </w:r>
        </w:p>
        <w:p w14:paraId="1774F67A">
          <w:pPr>
            <w:pStyle w:val="26"/>
            <w:tabs>
              <w:tab w:val="right" w:leader="dot" w:pos="9358"/>
            </w:tabs>
            <w:rPr>
              <w:rFonts w:asciiTheme="minorHAnsi" w:hAnsiTheme="minorHAnsi" w:eastAsiaTheme="minorEastAsia" w:cstheme="minorBidi"/>
              <w:b w:val="0"/>
              <w:bCs w:val="0"/>
            </w:rPr>
          </w:pPr>
          <w:r>
            <w:fldChar w:fldCharType="begin"/>
          </w:r>
          <w:r>
            <w:instrText xml:space="preserve"> HYPERLINK \l "_Toc154652318" </w:instrText>
          </w:r>
          <w:r>
            <w:fldChar w:fldCharType="separate"/>
          </w:r>
          <w:r>
            <w:rPr>
              <w:rStyle w:val="20"/>
              <w:rFonts w:eastAsia="CamberW04-Regular" w:cs="CamberW04-Regular"/>
            </w:rPr>
            <w:t>EK.3 YÖKAK DERECELİ DEĞERLENDİRME ANAHTARI</w:t>
          </w:r>
          <w:r>
            <w:tab/>
          </w:r>
          <w:r>
            <w:fldChar w:fldCharType="begin"/>
          </w:r>
          <w:r>
            <w:instrText xml:space="preserve"> PAGEREF _Toc154652318 \h </w:instrText>
          </w:r>
          <w:r>
            <w:fldChar w:fldCharType="separate"/>
          </w:r>
          <w:r>
            <w:t>13</w:t>
          </w:r>
          <w:r>
            <w:fldChar w:fldCharType="end"/>
          </w:r>
          <w:r>
            <w:fldChar w:fldCharType="end"/>
          </w:r>
        </w:p>
        <w:p w14:paraId="7D20778A">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"_Toc154652319" </w:instrText>
          </w:r>
          <w:r>
            <w:fldChar w:fldCharType="separate"/>
          </w:r>
          <w:r>
            <w:rPr>
              <w:rStyle w:val="20"/>
            </w:rPr>
            <w:t>A. LİDERLİK, YÖNETİŞİM ve KALİTE</w:t>
          </w:r>
          <w:r>
            <w:tab/>
          </w:r>
          <w:r>
            <w:fldChar w:fldCharType="begin"/>
          </w:r>
          <w:r>
            <w:instrText xml:space="preserve"> PAGEREF _Toc154652319 \h </w:instrText>
          </w:r>
          <w:r>
            <w:fldChar w:fldCharType="separate"/>
          </w:r>
          <w:r>
            <w:t>14</w:t>
          </w:r>
          <w:r>
            <w:fldChar w:fldCharType="end"/>
          </w:r>
          <w:r>
            <w:fldChar w:fldCharType="end"/>
          </w:r>
        </w:p>
        <w:p w14:paraId="6196E570">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"_Toc154652320" </w:instrText>
          </w:r>
          <w:r>
            <w:fldChar w:fldCharType="separate"/>
          </w:r>
          <w:r>
            <w:rPr>
              <w:rStyle w:val="20"/>
            </w:rPr>
            <w:t>B. EĞİTİM ve ÖĞRETİM</w:t>
          </w:r>
          <w:r>
            <w:tab/>
          </w:r>
          <w:r>
            <w:fldChar w:fldCharType="begin"/>
          </w:r>
          <w:r>
            <w:instrText xml:space="preserve"> PAGEREF _Toc154652320 \h </w:instrText>
          </w:r>
          <w:r>
            <w:fldChar w:fldCharType="separate"/>
          </w:r>
          <w:r>
            <w:t>33</w:t>
          </w:r>
          <w:r>
            <w:fldChar w:fldCharType="end"/>
          </w:r>
          <w:r>
            <w:fldChar w:fldCharType="end"/>
          </w:r>
        </w:p>
        <w:p w14:paraId="74ECE0B6">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"_Toc154652321" </w:instrText>
          </w:r>
          <w:r>
            <w:fldChar w:fldCharType="separate"/>
          </w:r>
          <w:r>
            <w:rPr>
              <w:rStyle w:val="20"/>
            </w:rPr>
            <w:t>C.ARAŞTIRMA VE GELİŞTİRME</w:t>
          </w:r>
          <w:r>
            <w:tab/>
          </w:r>
          <w:r>
            <w:fldChar w:fldCharType="begin"/>
          </w:r>
          <w:r>
            <w:instrText xml:space="preserve"> PAGEREF _Toc154652321 \h </w:instrText>
          </w:r>
          <w:r>
            <w:fldChar w:fldCharType="separate"/>
          </w:r>
          <w:r>
            <w:t>51</w:t>
          </w:r>
          <w:r>
            <w:fldChar w:fldCharType="end"/>
          </w:r>
          <w:r>
            <w:fldChar w:fldCharType="end"/>
          </w:r>
        </w:p>
        <w:p w14:paraId="3E759CF4">
          <w:pPr>
            <w:pStyle w:val="27"/>
            <w:tabs>
              <w:tab w:val="right" w:leader="dot" w:pos="9358"/>
            </w:tabs>
            <w:rPr>
              <w:rFonts w:asciiTheme="minorHAnsi" w:hAnsiTheme="minorHAnsi" w:eastAsiaTheme="minorEastAsia" w:cstheme="minorBidi"/>
              <w:b w:val="0"/>
              <w:bCs w:val="0"/>
            </w:rPr>
          </w:pPr>
          <w:r>
            <w:fldChar w:fldCharType="begin"/>
          </w:r>
          <w:r>
            <w:instrText xml:space="preserve"> HYPERLINK \l "_Toc154652322" </w:instrText>
          </w:r>
          <w:r>
            <w:fldChar w:fldCharType="separate"/>
          </w:r>
          <w:r>
            <w:rPr>
              <w:rStyle w:val="20"/>
            </w:rPr>
            <w:t>D. TOPLUMSAL KATKI</w:t>
          </w:r>
          <w:r>
            <w:tab/>
          </w:r>
          <w:r>
            <w:fldChar w:fldCharType="begin"/>
          </w:r>
          <w:r>
            <w:instrText xml:space="preserve"> PAGEREF _Toc154652322 \h </w:instrText>
          </w:r>
          <w:r>
            <w:fldChar w:fldCharType="separate"/>
          </w:r>
          <w:r>
            <w:t>58</w:t>
          </w:r>
          <w:r>
            <w:fldChar w:fldCharType="end"/>
          </w:r>
          <w:r>
            <w:fldChar w:fldCharType="end"/>
          </w:r>
        </w:p>
        <w:p w14:paraId="411319C7">
          <w:pPr>
            <w:pStyle w:val="26"/>
            <w:tabs>
              <w:tab w:val="right" w:leader="dot" w:pos="9358"/>
            </w:tabs>
            <w:rPr>
              <w:rFonts w:asciiTheme="minorHAnsi" w:hAnsiTheme="minorHAnsi" w:eastAsiaTheme="minorEastAsia" w:cstheme="minorBidi"/>
              <w:b w:val="0"/>
              <w:bCs w:val="0"/>
            </w:rPr>
          </w:pPr>
          <w:r>
            <w:fldChar w:fldCharType="begin"/>
          </w:r>
          <w:r>
            <w:instrText xml:space="preserve"> HYPERLINK \l "_Toc154652323" </w:instrText>
          </w:r>
          <w:r>
            <w:fldChar w:fldCharType="separate"/>
          </w:r>
          <w:r>
            <w:rPr>
              <w:rStyle w:val="20"/>
            </w:rPr>
            <w:t>EK.4 PERFORMANS GÖSTERGELERİ</w:t>
          </w:r>
          <w:r>
            <w:tab/>
          </w:r>
          <w:r>
            <w:fldChar w:fldCharType="begin"/>
          </w:r>
          <w:r>
            <w:instrText xml:space="preserve"> PAGEREF _Toc154652323 \h </w:instrText>
          </w:r>
          <w:r>
            <w:fldChar w:fldCharType="separate"/>
          </w:r>
          <w:r>
            <w:t>61</w:t>
          </w:r>
          <w:r>
            <w:fldChar w:fldCharType="end"/>
          </w:r>
          <w:r>
            <w:fldChar w:fldCharType="end"/>
          </w:r>
        </w:p>
        <w:p w14:paraId="225A443D">
          <w:r>
            <w:rPr>
              <w:b/>
              <w:bCs/>
            </w:rPr>
            <w:fldChar w:fldCharType="end"/>
          </w:r>
        </w:p>
      </w:sdtContent>
    </w:sdt>
    <w:p w14:paraId="00000016">
      <w:pPr>
        <w:widowControl/>
        <w:spacing w:after="160" w:line="259" w:lineRule="auto"/>
        <w:rPr>
          <w:rFonts w:ascii="CamberW04-Regular" w:hAnsi="CamberW04-Regular" w:eastAsia="CamberW04-Regular" w:cs="CamberW04-Regular"/>
          <w:b/>
          <w:color w:val="2F5496"/>
          <w:sz w:val="32"/>
          <w:szCs w:val="32"/>
        </w:rPr>
      </w:pPr>
      <w:r>
        <w:br w:type="page"/>
      </w:r>
    </w:p>
    <w:p w14:paraId="00000017">
      <w:pPr>
        <w:pStyle w:val="2"/>
      </w:pPr>
      <w:bookmarkStart w:id="1" w:name="_Toc154652304"/>
      <w:r>
        <w:t>GENEL BİLGİLER</w:t>
      </w:r>
      <w:bookmarkEnd w:id="1"/>
    </w:p>
    <w:p w14:paraId="00000018">
      <w:pPr>
        <w:spacing w:line="200" w:lineRule="auto"/>
        <w:ind w:right="63"/>
        <w:jc w:val="both"/>
        <w:rPr>
          <w:rFonts w:ascii="CamberW04-Regular" w:hAnsi="CamberW04-Regular" w:eastAsia="CamberW04-Regular" w:cs="CamberW04-Regular"/>
          <w:sz w:val="20"/>
          <w:szCs w:val="20"/>
        </w:rPr>
      </w:pPr>
    </w:p>
    <w:p w14:paraId="00000019">
      <w:pPr>
        <w:spacing w:before="13" w:line="200" w:lineRule="auto"/>
        <w:ind w:right="63"/>
        <w:jc w:val="both"/>
        <w:rPr>
          <w:rFonts w:ascii="CamberW04-Regular" w:hAnsi="CamberW04-Regular" w:eastAsia="CamberW04-Regular" w:cs="CamberW04-Regular"/>
          <w:sz w:val="20"/>
          <w:szCs w:val="20"/>
        </w:rPr>
      </w:pPr>
    </w:p>
    <w:p w14:paraId="0000001A">
      <w:pPr>
        <w:pStyle w:val="3"/>
      </w:pPr>
      <w:bookmarkStart w:id="2" w:name="_Toc154652305"/>
      <w:r>
        <w:t>Giriş</w:t>
      </w:r>
      <w:bookmarkEnd w:id="2"/>
    </w:p>
    <w:p w14:paraId="0000001B">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Kurum İç Değerlendirme Raporu (KİDR); kurumun yıllık iç değerlendirme süreçlerini izlemek, Değerlendirme Programlarında (Kurumsal Dış Değerlendirme, Kurumsal Akreditasyon, İzleme ve Ara Değerlendirme) esas alınmak üzere kurum tarafından her yıl hazırlanır ve Yükseköğretim Kalite Kuruluna (YÖKAK) sunulur. Bu kılavuzda, KİDR hazırlanırken uygulanacak kurallar, ilgili açıklamalar, öneriler, KİDR şablonu (Ek-1)</w:t>
      </w:r>
      <w:r>
        <w:rPr>
          <w:rFonts w:ascii="CamberW04-Regular" w:hAnsi="CamberW04-Regular" w:eastAsia="CamberW04-Regular" w:cs="CamberW04-Regular"/>
          <w:sz w:val="24"/>
          <w:szCs w:val="24"/>
        </w:rPr>
        <w:t xml:space="preserve">, KİDR yazım kılavuzu (Ek-2), YÖKAK Dereceli Değerlendirme Anahtarı </w:t>
      </w:r>
      <w:r>
        <w:rPr>
          <w:rFonts w:ascii="CamberW04-Regular" w:hAnsi="CamberW04-Regular" w:eastAsia="CamberW04-Regular" w:cs="CamberW04-Regular"/>
          <w:color w:val="000000"/>
          <w:sz w:val="24"/>
          <w:szCs w:val="24"/>
        </w:rPr>
        <w:t>(Ek-</w:t>
      </w:r>
      <w:r>
        <w:rPr>
          <w:rFonts w:ascii="CamberW04-Regular" w:hAnsi="CamberW04-Regular" w:eastAsia="CamberW04-Regular" w:cs="CamberW04-Regular"/>
          <w:sz w:val="24"/>
          <w:szCs w:val="24"/>
        </w:rPr>
        <w:t>3</w:t>
      </w:r>
      <w:r>
        <w:rPr>
          <w:rFonts w:ascii="CamberW04-Regular" w:hAnsi="CamberW04-Regular" w:eastAsia="CamberW04-Regular" w:cs="CamberW04-Regular"/>
          <w:color w:val="000000"/>
          <w:sz w:val="24"/>
          <w:szCs w:val="24"/>
        </w:rPr>
        <w:t>),  göstergelere ilişkin bilgiler (Ek-</w:t>
      </w:r>
      <w:r>
        <w:rPr>
          <w:rFonts w:ascii="CamberW04-Regular" w:hAnsi="CamberW04-Regular" w:eastAsia="CamberW04-Regular" w:cs="CamberW04-Regular"/>
          <w:sz w:val="24"/>
          <w:szCs w:val="24"/>
        </w:rPr>
        <w:t>4</w:t>
      </w:r>
      <w:r>
        <w:rPr>
          <w:rFonts w:ascii="CamberW04-Regular" w:hAnsi="CamberW04-Regular" w:eastAsia="CamberW04-Regular" w:cs="CamberW04-Regular"/>
          <w:color w:val="000000"/>
          <w:sz w:val="24"/>
          <w:szCs w:val="24"/>
        </w:rPr>
        <w:t>) yer almaktadır.</w:t>
      </w:r>
    </w:p>
    <w:p w14:paraId="0000001C">
      <w:pPr>
        <w:spacing w:line="200" w:lineRule="auto"/>
        <w:ind w:right="63"/>
        <w:jc w:val="both"/>
        <w:rPr>
          <w:rFonts w:ascii="CamberW04-Regular" w:hAnsi="CamberW04-Regular" w:eastAsia="CamberW04-Regular" w:cs="CamberW04-Regular"/>
          <w:sz w:val="20"/>
          <w:szCs w:val="20"/>
        </w:rPr>
      </w:pPr>
    </w:p>
    <w:p w14:paraId="0000001D">
      <w:pPr>
        <w:pStyle w:val="3"/>
      </w:pPr>
      <w:bookmarkStart w:id="3" w:name="_Toc154652306"/>
      <w:r>
        <w:t>Amaç</w:t>
      </w:r>
      <w:bookmarkEnd w:id="3"/>
    </w:p>
    <w:p w14:paraId="0000001E">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KİDR’nin amacı, kurumun kendi güçlü ve gelişmeye açık yönlerini tanımasına ve iyileştirme süreçlerine katkı sağlamaktır. Kuruma ait KİDR, kurumun öz değerlendirme çalışmalarının en önemli çıktısıdır. Olgunluk düzeyi yüksek bir KİDR ancak yıl içerisinde iç kalite güvencesi sistemi ve iç değerlendirme çalışmalarının etkin ve etkili gerçekleştirilmesi ile mümkündür. </w:t>
      </w:r>
    </w:p>
    <w:p w14:paraId="0000001F">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20">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Raporun hazırlık süreci, kurumun Kurumsal Dış Değerlendirme, Kurumsal Akreditasyon, İzleme ve Ara Değerlendirme süreçlerinden en üst düzeyde fayda görmesini sağlayan önemli fırsatlardan biridir. KİDR, paydaşlarla iletişim ve iş birliği, öz değerlendirme çalışmaları ve kalite güvencesi kültürünün yaygınlaştırılması ve içselleştirilmesi amacıyla kullanılmalıdır. Raporun hazırlanma sürecinin kuruma katkısının artırılması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00000021">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22">
      <w:pPr>
        <w:pStyle w:val="3"/>
      </w:pPr>
      <w:bookmarkStart w:id="4" w:name="_Toc154652307"/>
      <w:r>
        <w:t>İçerik</w:t>
      </w:r>
      <w:bookmarkEnd w:id="4"/>
    </w:p>
    <w:p w14:paraId="00000023">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KİDR’de yükseköğretim kurumunun iç kalite güvencesi sisteminin olgunluk düzeyi irdelenmelidir. Bu kapsamda kurumu</w:t>
      </w:r>
      <w:r>
        <w:rPr>
          <w:rFonts w:ascii="CamberW04-Regular" w:hAnsi="CamberW04-Regular" w:eastAsia="CamberW04-Regular" w:cs="CamberW04-Regular"/>
          <w:sz w:val="24"/>
          <w:szCs w:val="24"/>
        </w:rPr>
        <w:t>n</w:t>
      </w:r>
      <w:r>
        <w:rPr>
          <w:rFonts w:ascii="CamberW04-Regular" w:hAnsi="CamberW04-Regular" w:eastAsia="CamberW04-Regular" w:cs="CamberW04-Regular"/>
          <w:color w:val="000000" w:themeColor="text1"/>
          <w:sz w:val="24"/>
          <w:szCs w:val="24"/>
          <w14:textFill>
            <w14:solidFill>
              <w14:schemeClr w14:val="tx1"/>
            </w14:solidFill>
          </w14:textFill>
        </w:rPr>
        <w:t>;</w:t>
      </w:r>
    </w:p>
    <w:p w14:paraId="00000024">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25">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Değerleri, misyon ve hedefleriyle uyumlu olarak; kalite güvencesi sistemi, eğitim ve öğretim, araştırma ve geliştirme, toplumsal katkı ve yönetim sistemi süreçlerinde sahip olduğu kaynakları ve yetkinlikleri nasıl planladığı ve yönettiği, </w:t>
      </w:r>
    </w:p>
    <w:p w14:paraId="00000026">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Kurum genelinde ve süreçler bazında izleme ve iyileştirmelerin nasıl gerçekleştirildiği,</w:t>
      </w:r>
    </w:p>
    <w:p w14:paraId="00000027">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Planlama, uygulama, izleme ve iyileştirme süreçlerine paydaş katılımının ve kapsayıcılığın nasıl sağlandığı,</w:t>
      </w:r>
    </w:p>
    <w:p w14:paraId="00000028">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İç kalite güvencesi sisteminde güçlü ve iyileşmeye açık alanların neler olduğu, </w:t>
      </w:r>
    </w:p>
    <w:p w14:paraId="00000029">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Gerçekleştirilemeyen iyileştirmelerin nedenleri,</w:t>
      </w:r>
    </w:p>
    <w:p w14:paraId="0000002A">
      <w:pPr>
        <w:numPr>
          <w:ilvl w:val="0"/>
          <w:numId w:val="1"/>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Yükseköğretimin hızlı değişen gündemi kapsamında kurumun rekabet avantajını koruyabilmesi için kalite güvencesi sisteminde sürdürülebilirliği nasıl sağlayacağı</w:t>
      </w:r>
    </w:p>
    <w:p w14:paraId="0000002B">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sorularını kanıta dayalı olarak yanıtlaması beklenmektedir.</w:t>
      </w:r>
    </w:p>
    <w:p w14:paraId="0000002C">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pPr>
    </w:p>
    <w:p w14:paraId="0000002D">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11"/>
          <w:szCs w:val="11"/>
        </w:rPr>
      </w:pPr>
      <w:r>
        <w:rPr>
          <w:rFonts w:ascii="CamberW04-Regular" w:hAnsi="CamberW04-Regular" w:eastAsia="CamberW04-Regular" w:cs="CamberW04-Regular"/>
          <w:color w:val="000000"/>
          <w:sz w:val="24"/>
          <w:szCs w:val="24"/>
        </w:rPr>
        <w:t xml:space="preserve"> </w:t>
      </w:r>
    </w:p>
    <w:p w14:paraId="0000002E">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KİDR; YÖKAK Değerlendirme Ölçütleri, Kurum İç Değerlendirme Raporu Hazırlama Kılavuzu, YÖKAK Dereceli Değerlendirme Anahtarı (Rubrik) ve önceki yıllara ait KİDR’ler ve dış değerlendirme raporları dikkate alınarak Kalite Güvencesi Yönetim Bilgi Sistemi (KGYBS) üzerinden hazırlanmalıdır. Raporda yer alan bilgiler; çeşitli belgeler ve kanıtlarla desteklenmelidir. </w:t>
      </w:r>
    </w:p>
    <w:p w14:paraId="0000002F">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30">
      <w:pPr>
        <w:pStyle w:val="3"/>
      </w:pPr>
      <w:bookmarkStart w:id="5" w:name="_Toc154652308"/>
      <w:r>
        <w:t>Raporun Hazırlanması ve Yayımlanması</w:t>
      </w:r>
      <w:bookmarkEnd w:id="5"/>
    </w:p>
    <w:p w14:paraId="00000031"/>
    <w:p w14:paraId="00000032">
      <w:pPr>
        <w:pStyle w:val="5"/>
        <w:ind w:left="0" w:right="63"/>
        <w:jc w:val="both"/>
        <w:rPr>
          <w:rFonts w:ascii="CamberW04-Regular" w:hAnsi="CamberW04-Regular" w:eastAsia="Arial" w:cs="Arial"/>
          <w:b w:val="0"/>
          <w:i w:val="0"/>
        </w:rPr>
      </w:pPr>
      <w:r>
        <w:rPr>
          <w:rFonts w:ascii="CamberW04-Regular" w:hAnsi="CamberW04-Regular" w:eastAsia="CamberW04-Regular" w:cs="CamberW04-Regular"/>
          <w:b w:val="0"/>
          <w:i w:val="0"/>
        </w:rPr>
        <w:t xml:space="preserve">Kurum İç Değerlendirme Raporları’nın YÖKAK tarafından oluşturulan Kalite Güvencesi Yönetim Bilgi Sistemi (KGYBS)’ye yüklenmesi gerekmektedir. Söz konusu yükleme işlemi için yükseköğretim kurumu Kalite Komisyonu Başkanına veya Komisyon Başkanı tarafından görevlendirilen bir kişiye web tabanlı sisteme yönetici olarak giriş yapma yetkisi verilecektir. Sisteme yönetici olarak giriş yapma yetkisi bulunan kişi; sistem üzerinde kurumda çalışanlara kullanıcı </w:t>
      </w:r>
      <w:r>
        <w:rPr>
          <w:rFonts w:ascii="CamberW04-Regular" w:hAnsi="CamberW04-Regular" w:eastAsia="CamberW04-Regular" w:cs="CamberW04-Regular"/>
          <w:b w:val="0"/>
          <w:i w:val="0"/>
          <w:color w:val="000000"/>
        </w:rPr>
        <w:t xml:space="preserve">hesabı </w:t>
      </w:r>
      <w:r>
        <w:rPr>
          <w:rFonts w:ascii="CamberW04-Regular" w:hAnsi="CamberW04-Regular" w:eastAsia="CamberW04-Regular" w:cs="CamberW04-Regular"/>
          <w:b w:val="0"/>
          <w:i w:val="0"/>
        </w:rPr>
        <w:t xml:space="preserve">ve roller oluşturabilmektedir. Yükseköğretim kurumları tarafından KİDR’lerin sisteme yüklenmesi neticesinde KİDR’ler </w:t>
      </w:r>
      <w:r>
        <w:fldChar w:fldCharType="begin"/>
      </w:r>
      <w:r>
        <w:instrText xml:space="preserve"> HYPERLINK "http://www.yokak.gov.tr" \h </w:instrText>
      </w:r>
      <w:r>
        <w:fldChar w:fldCharType="separate"/>
      </w:r>
      <w:r>
        <w:rPr>
          <w:rFonts w:ascii="CamberW04-Regular" w:hAnsi="CamberW04-Regular" w:eastAsia="CamberW04-Regular" w:cs="CamberW04-Regular"/>
          <w:b w:val="0"/>
          <w:i w:val="0"/>
          <w:color w:val="0563C1"/>
          <w:u w:val="single"/>
        </w:rPr>
        <w:t>www.yokak.gov.tr</w:t>
      </w:r>
      <w:r>
        <w:rPr>
          <w:rFonts w:ascii="CamberW04-Regular" w:hAnsi="CamberW04-Regular" w:eastAsia="CamberW04-Regular" w:cs="CamberW04-Regular"/>
          <w:b w:val="0"/>
          <w:i w:val="0"/>
          <w:color w:val="0563C1"/>
          <w:u w:val="single"/>
        </w:rPr>
        <w:fldChar w:fldCharType="end"/>
      </w:r>
      <w:r>
        <w:rPr>
          <w:rFonts w:ascii="CamberW04-Regular" w:hAnsi="CamberW04-Regular" w:eastAsia="CamberW04-Regular" w:cs="CamberW04-Regular"/>
          <w:b w:val="0"/>
          <w:i w:val="0"/>
        </w:rPr>
        <w:t xml:space="preserve"> internet sayfasından yayımlanacaktır. Aynı zamanda yükseköğretim kurumları kendi internet sayfalarından da hazırladıkları KİDR’yi yayımlamalıdır. </w:t>
      </w:r>
      <w:r>
        <w:rPr>
          <w:rFonts w:ascii="CamberW04-Regular" w:hAnsi="CamberW04-Regular" w:eastAsia="Arial" w:cs="Arial"/>
          <w:b w:val="0"/>
          <w:i w:val="0"/>
        </w:rPr>
        <w:t>KİDR’ler, Ek-1’deki şablon ve Ek-2’deki yazım kılavuzu dikkate alınarak YÖKAK Dereceli Değerlendirme Anahtarı çerçevesinde hazırlanmalıdır.</w:t>
      </w:r>
    </w:p>
    <w:p w14:paraId="00000033">
      <w:pPr>
        <w:spacing w:before="5" w:line="110" w:lineRule="auto"/>
        <w:ind w:right="63"/>
        <w:jc w:val="both"/>
        <w:rPr>
          <w:rFonts w:ascii="CamberW04-Regular" w:hAnsi="CamberW04-Regular" w:eastAsia="CamberW04-Regular" w:cs="CamberW04-Regular"/>
          <w:sz w:val="11"/>
          <w:szCs w:val="11"/>
        </w:rPr>
      </w:pPr>
    </w:p>
    <w:p w14:paraId="00000034">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35">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b/>
          <w:color w:val="000000"/>
          <w:sz w:val="24"/>
          <w:szCs w:val="24"/>
          <w:u w:val="single"/>
        </w:rPr>
      </w:pPr>
      <w:r>
        <w:rPr>
          <w:rFonts w:ascii="CamberW04-Regular" w:hAnsi="CamberW04-Regular" w:eastAsia="CamberW04-Regular" w:cs="CamberW04-Regular"/>
          <w:b/>
          <w:color w:val="000000"/>
          <w:sz w:val="24"/>
          <w:szCs w:val="24"/>
          <w:u w:val="single"/>
        </w:rPr>
        <w:t>YÖKAK Dereceli Değerlendirme Anahtarı ve Kullanımı</w:t>
      </w:r>
    </w:p>
    <w:p w14:paraId="00000036">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00000037">
      <w:pPr>
        <w:numPr>
          <w:ilvl w:val="0"/>
          <w:numId w:val="2"/>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YÖKAK’ın kurumsal değerlendirme süreçleri, bütüncül bir bakış açısıyla; </w:t>
      </w:r>
      <w:r>
        <w:rPr>
          <w:rFonts w:ascii="CamberW04-Regular" w:hAnsi="CamberW04-Regular" w:eastAsia="CamberW04-Regular" w:cs="CamberW04-Regular"/>
          <w:i/>
          <w:color w:val="000000"/>
          <w:sz w:val="24"/>
          <w:szCs w:val="24"/>
        </w:rPr>
        <w:t>Liderlik, Yönetişim ve Kalite, Eğitim ve Öğretim, Araştırma ve Geliştirme</w:t>
      </w:r>
      <w:r>
        <w:rPr>
          <w:rFonts w:ascii="CamberW04-Regular" w:hAnsi="CamberW04-Regular" w:eastAsia="CamberW04-Regular" w:cs="CamberW04-Regular"/>
          <w:color w:val="000000"/>
          <w:sz w:val="24"/>
          <w:szCs w:val="24"/>
        </w:rPr>
        <w:t xml:space="preserve"> ile</w:t>
      </w:r>
      <w:r>
        <w:rPr>
          <w:rFonts w:ascii="CamberW04-Regular" w:hAnsi="CamberW04-Regular" w:eastAsia="CamberW04-Regular" w:cs="CamberW04-Regular"/>
          <w:i/>
          <w:color w:val="000000"/>
          <w:sz w:val="24"/>
          <w:szCs w:val="24"/>
        </w:rPr>
        <w:t xml:space="preserve"> Toplumsal Katkı </w:t>
      </w:r>
      <w:r>
        <w:rPr>
          <w:rFonts w:ascii="CamberW04-Regular" w:hAnsi="CamberW04-Regular" w:eastAsia="CamberW04-Regular" w:cs="CamberW04-Regular"/>
          <w:color w:val="000000"/>
          <w:sz w:val="24"/>
          <w:szCs w:val="24"/>
        </w:rPr>
        <w:t xml:space="preserve"> başlıkları altında toplam 14 ölçüt ve 46 alt ölçüt 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YÖKAK dış değerlendirme ya da karar verme süreçlerinde açıklık, nesnellik, anlaşılırlık, tutarlık ve şeffaflığını artırmak amacıyla geliştirilmiştir.</w:t>
      </w:r>
    </w:p>
    <w:p w14:paraId="00000038">
      <w:pPr>
        <w:numPr>
          <w:ilvl w:val="0"/>
          <w:numId w:val="3"/>
        </w:numPr>
        <w:pBdr>
          <w:top w:val="none" w:color="auto" w:sz="0" w:space="0"/>
          <w:left w:val="none" w:color="auto" w:sz="0" w:space="0"/>
          <w:bottom w:val="none" w:color="auto" w:sz="0" w:space="0"/>
          <w:right w:val="none" w:color="auto" w:sz="0" w:space="0"/>
          <w:between w:val="none" w:color="auto" w:sz="0" w:space="0"/>
        </w:pBdr>
        <w:spacing w:before="240"/>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YÖKAK Dereceli Değerlendirme Anahtarı’nda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00000039">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pPr>
    </w:p>
    <w:p w14:paraId="0000003A">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380" w:right="1120" w:bottom="1180" w:left="1418" w:header="0" w:footer="998" w:gutter="0"/>
          <w:pgNumType w:start="1"/>
          <w:cols w:space="708" w:num="1"/>
          <w:titlePg/>
        </w:sectPr>
      </w:pPr>
    </w:p>
    <w:p w14:paraId="0000003B">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pPr>
      <w:r>
        <w:rPr>
          <w:sz w:val="16"/>
          <w:szCs w:val="16"/>
        </w:rPr>
        <w:drawing>
          <wp:anchor distT="0" distB="0" distL="114300" distR="114300" simplePos="0" relativeHeight="251663360" behindDoc="0" locked="0" layoutInCell="1" allowOverlap="1">
            <wp:simplePos x="0" y="0"/>
            <wp:positionH relativeFrom="column">
              <wp:posOffset>76200</wp:posOffset>
            </wp:positionH>
            <wp:positionV relativeFrom="paragraph">
              <wp:posOffset>222250</wp:posOffset>
            </wp:positionV>
            <wp:extent cx="9066530" cy="470535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4">
                      <a:extLst>
                        <a:ext uri="{28A0092B-C50C-407E-A947-70E740481C1C}">
                          <a14:useLocalDpi xmlns:a14="http://schemas.microsoft.com/office/drawing/2010/main" val="0"/>
                        </a:ext>
                      </a:extLst>
                    </a:blip>
                    <a:srcRect t="11936" b="8387"/>
                    <a:stretch>
                      <a:fillRect/>
                    </a:stretch>
                  </pic:blipFill>
                  <pic:spPr>
                    <a:xfrm>
                      <a:off x="0" y="0"/>
                      <a:ext cx="9066530" cy="4705350"/>
                    </a:xfrm>
                    <a:prstGeom prst="rect">
                      <a:avLst/>
                    </a:prstGeom>
                    <a:ln>
                      <a:noFill/>
                    </a:ln>
                  </pic:spPr>
                </pic:pic>
              </a:graphicData>
            </a:graphic>
          </wp:anchor>
        </w:drawing>
      </w:r>
    </w:p>
    <w:p w14:paraId="0000003C">
      <w:pPr>
        <w:pBdr>
          <w:top w:val="none" w:color="auto" w:sz="0" w:space="0"/>
          <w:left w:val="none" w:color="auto" w:sz="0" w:space="0"/>
          <w:bottom w:val="none" w:color="auto" w:sz="0" w:space="0"/>
          <w:right w:val="none" w:color="auto" w:sz="0" w:space="0"/>
          <w:between w:val="none" w:color="auto" w:sz="0" w:space="0"/>
        </w:pBdr>
        <w:tabs>
          <w:tab w:val="left" w:pos="5954"/>
        </w:tabs>
        <w:ind w:left="118" w:right="63"/>
        <w:jc w:val="both"/>
        <w:rPr>
          <w:rFonts w:ascii="CamberW04-Regular" w:hAnsi="CamberW04-Regular" w:eastAsia="CamberW04-Regular" w:cs="CamberW04-Regular"/>
          <w:color w:val="000000"/>
          <w:sz w:val="24"/>
          <w:szCs w:val="24"/>
        </w:rPr>
      </w:pPr>
    </w:p>
    <w:p w14:paraId="0000003D">
      <w:pPr>
        <w:pBdr>
          <w:top w:val="none" w:color="auto" w:sz="0" w:space="0"/>
          <w:left w:val="none" w:color="auto" w:sz="0" w:space="0"/>
          <w:bottom w:val="none" w:color="auto" w:sz="0" w:space="0"/>
          <w:right w:val="none" w:color="auto" w:sz="0" w:space="0"/>
          <w:between w:val="none" w:color="auto" w:sz="0" w:space="0"/>
        </w:pBdr>
        <w:tabs>
          <w:tab w:val="left" w:pos="142"/>
        </w:tabs>
        <w:ind w:left="118" w:right="63"/>
        <w:jc w:val="center"/>
        <w:rPr>
          <w:rFonts w:ascii="CamberW04-Regular" w:hAnsi="CamberW04-Regular" w:eastAsia="CamberW04-Regular" w:cs="CamberW04-Regular"/>
          <w:i/>
          <w:color w:val="000000"/>
          <w:sz w:val="24"/>
          <w:szCs w:val="24"/>
        </w:rPr>
        <w:sectPr>
          <w:pgSz w:w="16838" w:h="11906" w:orient="landscape"/>
          <w:pgMar w:top="1120" w:right="1180" w:bottom="1418" w:left="1380" w:header="0" w:footer="998" w:gutter="0"/>
          <w:cols w:space="708" w:num="1"/>
        </w:sectPr>
      </w:pPr>
      <w:r>
        <w:rPr>
          <w:rFonts w:ascii="CamberW04-Regular" w:hAnsi="CamberW04-Regular" w:eastAsia="CamberW04-Regular" w:cs="CamberW04-Regular"/>
          <w:i/>
          <w:color w:val="000000"/>
          <w:sz w:val="24"/>
          <w:szCs w:val="24"/>
        </w:rPr>
        <w:t>Şekil 1. YÖKAK Dereceli Değerlendirme Anahtarıyla Alt Ölçütlerin Olgunluk Düzeyinin Değerlendirilmesi</w:t>
      </w:r>
    </w:p>
    <w:p w14:paraId="0000003E">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KGYBS üzerinden gerçekleştirilecek rapor yazımında, açıklamalar “</w:t>
      </w:r>
      <w:r>
        <w:rPr>
          <w:rFonts w:ascii="CamberW04-Regular" w:hAnsi="CamberW04-Regular" w:eastAsia="CamberW04-Regular" w:cs="CamberW04-Regular"/>
          <w:i/>
          <w:color w:val="000000"/>
          <w:sz w:val="24"/>
          <w:szCs w:val="24"/>
        </w:rPr>
        <w:t>başlıklar</w:t>
      </w:r>
      <w:r>
        <w:rPr>
          <w:rFonts w:ascii="CamberW04-Regular" w:hAnsi="CamberW04-Regular" w:eastAsia="CamberW04-Regular" w:cs="CamberW04-Regular"/>
          <w:color w:val="000000"/>
          <w:sz w:val="24"/>
          <w:szCs w:val="24"/>
        </w:rPr>
        <w:t xml:space="preserve">” altında yer alan her bir ölçüte yönelik olarak yapılmalı; ölçütlerin açıklamaları yazılırken alt ölçütlerdeki olgunluk düzeyi esas alınmalıdır. Başlık, ölçüt ve alt ölçütlerin ilişkilendirilmesine ilişkin örnek Tablo 1’de sunulmuştur. </w:t>
      </w:r>
    </w:p>
    <w:p w14:paraId="0000003F">
      <w:pPr>
        <w:pBdr>
          <w:top w:val="none" w:color="auto" w:sz="0" w:space="0"/>
          <w:left w:val="none" w:color="auto" w:sz="0" w:space="0"/>
          <w:bottom w:val="none" w:color="auto" w:sz="0" w:space="0"/>
          <w:right w:val="none" w:color="auto" w:sz="0" w:space="0"/>
          <w:between w:val="none" w:color="auto" w:sz="0" w:space="0"/>
        </w:pBdr>
        <w:ind w:left="118" w:right="63"/>
        <w:jc w:val="both"/>
        <w:rPr>
          <w:rFonts w:ascii="CamberW04-Regular" w:hAnsi="CamberW04-Regular" w:eastAsia="CamberW04-Regular" w:cs="CamberW04-Regular"/>
          <w:color w:val="000000"/>
          <w:sz w:val="24"/>
          <w:szCs w:val="24"/>
        </w:rPr>
      </w:pPr>
    </w:p>
    <w:p w14:paraId="00000040">
      <w:pPr>
        <w:spacing w:line="360" w:lineRule="auto"/>
        <w:ind w:left="708" w:right="63"/>
        <w:jc w:val="both"/>
        <w:rPr>
          <w:rFonts w:ascii="CamberW04-Regular" w:hAnsi="CamberW04-Regular" w:eastAsia="CamberW04-Regular" w:cs="CamberW04-Regular"/>
          <w:sz w:val="24"/>
          <w:szCs w:val="24"/>
        </w:rPr>
      </w:pPr>
      <w:r>
        <w:rPr>
          <w:rFonts w:ascii="CamberW04-Regular" w:hAnsi="CamberW04-Regular" w:eastAsia="CamberW04-Regular" w:cs="CamberW04-Regular"/>
          <w:sz w:val="24"/>
          <w:szCs w:val="24"/>
        </w:rPr>
        <w:t>Tablo 1. KİDR yazımında başlık, ölçüt ve alt ölçütlerin ilişkilendirilmesi örneği</w:t>
      </w:r>
    </w:p>
    <w:tbl>
      <w:tblPr>
        <w:tblStyle w:val="104"/>
        <w:tblW w:w="8492"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23"/>
        <w:gridCol w:w="2648"/>
        <w:gridCol w:w="3121"/>
      </w:tblGrid>
      <w:tr w14:paraId="5F39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2723" w:type="dxa"/>
            <w:shd w:val="clear" w:color="auto" w:fill="2F5496"/>
          </w:tcPr>
          <w:p w14:paraId="00000041">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b/>
                <w:color w:val="000000"/>
                <w:sz w:val="24"/>
                <w:szCs w:val="24"/>
              </w:rPr>
            </w:pPr>
            <w:r>
              <w:rPr>
                <w:rFonts w:ascii="CamberW04-Regular" w:hAnsi="CamberW04-Regular" w:eastAsia="CamberW04-Regular" w:cs="CamberW04-Regular"/>
                <w:b/>
                <w:color w:val="FFFFFF"/>
                <w:sz w:val="24"/>
                <w:szCs w:val="24"/>
              </w:rPr>
              <w:t>Başlık</w:t>
            </w:r>
          </w:p>
        </w:tc>
        <w:tc>
          <w:tcPr>
            <w:tcW w:w="2648" w:type="dxa"/>
          </w:tcPr>
          <w:p w14:paraId="00000042">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B. Eğitim ve Öğretim</w:t>
            </w:r>
          </w:p>
        </w:tc>
        <w:tc>
          <w:tcPr>
            <w:tcW w:w="3121" w:type="dxa"/>
          </w:tcPr>
          <w:p w14:paraId="00000043">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Başlıklar altında ölçütler ve alt ölçütler yer almaktadır.</w:t>
            </w:r>
          </w:p>
        </w:tc>
      </w:tr>
      <w:tr w14:paraId="3F5D9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3" w:type="dxa"/>
            <w:shd w:val="clear" w:color="auto" w:fill="8EAADB"/>
          </w:tcPr>
          <w:p w14:paraId="00000044">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b/>
                <w:color w:val="000000"/>
                <w:sz w:val="24"/>
                <w:szCs w:val="24"/>
              </w:rPr>
            </w:pPr>
            <w:r>
              <w:rPr>
                <w:rFonts w:ascii="CamberW04-Regular" w:hAnsi="CamberW04-Regular" w:eastAsia="CamberW04-Regular" w:cs="CamberW04-Regular"/>
                <w:b/>
                <w:color w:val="000000"/>
                <w:sz w:val="24"/>
                <w:szCs w:val="24"/>
              </w:rPr>
              <w:t>Ölçüt</w:t>
            </w:r>
          </w:p>
        </w:tc>
        <w:tc>
          <w:tcPr>
            <w:tcW w:w="2648" w:type="dxa"/>
          </w:tcPr>
          <w:p w14:paraId="00000045">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B.1 Program Tasarımı, Değerlendirmesi ve Güncellenmesi</w:t>
            </w:r>
          </w:p>
        </w:tc>
        <w:tc>
          <w:tcPr>
            <w:tcW w:w="3121" w:type="dxa"/>
          </w:tcPr>
          <w:p w14:paraId="00000046">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Rapor yazımı ölçütler bazında gerçekleştirilecektir. </w:t>
            </w:r>
          </w:p>
        </w:tc>
      </w:tr>
      <w:tr w14:paraId="04E1B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3" w:type="dxa"/>
            <w:shd w:val="clear" w:color="auto" w:fill="B4C6E7"/>
          </w:tcPr>
          <w:p w14:paraId="00000047">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b/>
                <w:color w:val="000000"/>
                <w:sz w:val="24"/>
                <w:szCs w:val="24"/>
              </w:rPr>
            </w:pPr>
            <w:r>
              <w:rPr>
                <w:rFonts w:ascii="CamberW04-Regular" w:hAnsi="CamberW04-Regular" w:eastAsia="CamberW04-Regular" w:cs="CamberW04-Regular"/>
                <w:b/>
                <w:color w:val="000000"/>
                <w:sz w:val="24"/>
                <w:szCs w:val="24"/>
              </w:rPr>
              <w:t>Alt Ölçüt</w:t>
            </w:r>
          </w:p>
        </w:tc>
        <w:tc>
          <w:tcPr>
            <w:tcW w:w="2648" w:type="dxa"/>
          </w:tcPr>
          <w:p w14:paraId="00000048">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u w:val="single"/>
              </w:rPr>
            </w:pPr>
            <w:r>
              <w:rPr>
                <w:rFonts w:ascii="CamberW04-Regular" w:hAnsi="CamberW04-Regular" w:eastAsia="CamberW04-Regular" w:cs="CamberW04-Regular"/>
                <w:color w:val="000000"/>
                <w:sz w:val="24"/>
                <w:szCs w:val="24"/>
                <w:u w:val="single"/>
              </w:rPr>
              <w:t>B.1.5. Programların izlenmesi ve güncellenmesi</w:t>
            </w:r>
          </w:p>
        </w:tc>
        <w:tc>
          <w:tcPr>
            <w:tcW w:w="3121" w:type="dxa"/>
          </w:tcPr>
          <w:p w14:paraId="00000049">
            <w:pPr>
              <w:pBdr>
                <w:top w:val="none" w:color="auto" w:sz="0" w:space="0"/>
                <w:left w:val="none" w:color="auto" w:sz="0" w:space="0"/>
                <w:bottom w:val="none" w:color="auto" w:sz="0" w:space="0"/>
                <w:right w:val="none" w:color="auto" w:sz="0" w:space="0"/>
                <w:between w:val="none" w:color="auto" w:sz="0" w:space="0"/>
              </w:pBdr>
              <w:ind w:right="63"/>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Alt ölçütler, ölçütlerin yazımında esas alınılacak ve kanıtlarla desteklenen olgunluk düzeyi KGYBS üzerinden derecelendirilecektir.</w:t>
            </w:r>
          </w:p>
        </w:tc>
      </w:tr>
    </w:tbl>
    <w:p w14:paraId="0000004A">
      <w:pPr>
        <w:pBdr>
          <w:top w:val="none" w:color="auto" w:sz="0" w:space="0"/>
          <w:left w:val="none" w:color="auto" w:sz="0" w:space="0"/>
          <w:bottom w:val="none" w:color="auto" w:sz="0" w:space="0"/>
          <w:right w:val="none" w:color="auto" w:sz="0" w:space="0"/>
          <w:between w:val="none" w:color="auto" w:sz="0" w:space="0"/>
        </w:pBdr>
        <w:ind w:left="118" w:right="63"/>
        <w:rPr>
          <w:rFonts w:ascii="CamberW04-Regular" w:hAnsi="CamberW04-Regular" w:eastAsia="CamberW04-Regular" w:cs="CamberW04-Regular"/>
          <w:color w:val="000000"/>
          <w:sz w:val="24"/>
          <w:szCs w:val="24"/>
        </w:rPr>
      </w:pPr>
    </w:p>
    <w:p w14:paraId="0000004B">
      <w:pPr>
        <w:pBdr>
          <w:top w:val="none" w:color="auto" w:sz="0" w:space="0"/>
          <w:left w:val="none" w:color="auto" w:sz="0" w:space="0"/>
          <w:bottom w:val="none" w:color="auto" w:sz="0" w:space="0"/>
          <w:right w:val="none" w:color="auto" w:sz="0" w:space="0"/>
          <w:between w:val="none" w:color="auto" w:sz="0" w:space="0"/>
        </w:pBdr>
        <w:ind w:left="720" w:right="63"/>
        <w:jc w:val="both"/>
        <w:rPr>
          <w:rFonts w:ascii="CamberW04-Regular" w:hAnsi="CamberW04-Regular" w:eastAsia="CamberW04-Regular" w:cs="CamberW04-Regular"/>
          <w:color w:val="000000"/>
          <w:sz w:val="24"/>
          <w:szCs w:val="24"/>
        </w:rPr>
      </w:pPr>
    </w:p>
    <w:p w14:paraId="0000004C">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1B398D4B">
      <w:pPr>
        <w:pBdr>
          <w:top w:val="none" w:color="auto" w:sz="0" w:space="0"/>
          <w:left w:val="none" w:color="auto" w:sz="0" w:space="0"/>
          <w:bottom w:val="none" w:color="auto" w:sz="0" w:space="0"/>
          <w:right w:val="none" w:color="auto" w:sz="0" w:space="0"/>
          <w:between w:val="none" w:color="auto" w:sz="0" w:space="0"/>
        </w:pBdr>
        <w:ind w:left="720" w:right="63"/>
        <w:jc w:val="both"/>
        <w:rPr>
          <w:rFonts w:ascii="CamberW04-Regular" w:hAnsi="CamberW04-Regular" w:eastAsia="CamberW04-Regular" w:cs="CamberW04-Regular"/>
          <w:color w:val="000000"/>
          <w:sz w:val="24"/>
          <w:szCs w:val="24"/>
        </w:rPr>
      </w:pPr>
    </w:p>
    <w:p w14:paraId="0000004D">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drawing>
          <wp:inline distT="0" distB="0" distL="0" distR="0">
            <wp:extent cx="5857875" cy="3359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5" cstate="print">
                      <a:extLst>
                        <a:ext uri="{28A0092B-C50C-407E-A947-70E740481C1C}">
                          <a14:useLocalDpi xmlns:a14="http://schemas.microsoft.com/office/drawing/2010/main" val="0"/>
                        </a:ext>
                      </a:extLst>
                    </a:blip>
                    <a:srcRect t="20151" r="1526"/>
                    <a:stretch>
                      <a:fillRect/>
                    </a:stretch>
                  </pic:blipFill>
                  <pic:spPr>
                    <a:xfrm>
                      <a:off x="0" y="0"/>
                      <a:ext cx="5857875" cy="3359150"/>
                    </a:xfrm>
                    <a:prstGeom prst="rect">
                      <a:avLst/>
                    </a:prstGeom>
                    <a:ln>
                      <a:noFill/>
                    </a:ln>
                  </pic:spPr>
                </pic:pic>
              </a:graphicData>
            </a:graphic>
          </wp:inline>
        </w:drawing>
      </w:r>
    </w:p>
    <w:p w14:paraId="0000004E">
      <w:pPr>
        <w:pBdr>
          <w:top w:val="none" w:color="auto" w:sz="0" w:space="0"/>
          <w:left w:val="none" w:color="auto" w:sz="0" w:space="0"/>
          <w:bottom w:val="none" w:color="auto" w:sz="0" w:space="0"/>
          <w:right w:val="none" w:color="auto" w:sz="0" w:space="0"/>
          <w:between w:val="none" w:color="auto" w:sz="0" w:space="0"/>
        </w:pBdr>
        <w:ind w:left="2124" w:right="63"/>
        <w:rPr>
          <w:rFonts w:ascii="CamberW04-Regular" w:hAnsi="CamberW04-Regular" w:eastAsia="CamberW04-Regular" w:cs="CamberW04-Regular"/>
          <w:i/>
          <w:color w:val="000000"/>
          <w:sz w:val="24"/>
          <w:szCs w:val="24"/>
        </w:rPr>
        <w:sectPr>
          <w:pgSz w:w="11906" w:h="16838"/>
          <w:pgMar w:top="1380" w:right="1120" w:bottom="1180" w:left="1418" w:header="0" w:footer="998" w:gutter="0"/>
          <w:cols w:space="708" w:num="1"/>
        </w:sectPr>
      </w:pPr>
      <w:r>
        <w:rPr>
          <w:rFonts w:ascii="CamberW04-Regular" w:hAnsi="CamberW04-Regular" w:eastAsia="CamberW04-Regular" w:cs="CamberW04-Regular"/>
          <w:i/>
          <w:color w:val="000000"/>
          <w:sz w:val="24"/>
          <w:szCs w:val="24"/>
        </w:rPr>
        <w:t>Şekil 2. Olgunluk Düzeyi Derecelendirme Basamakları</w:t>
      </w:r>
    </w:p>
    <w:p w14:paraId="0C4D6CC2">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Her bir olgunluk düzeyi bir önceki olgunluk düzeyini mutlaka kapsamalıdır. </w:t>
      </w:r>
    </w:p>
    <w:p w14:paraId="0000004F">
      <w:pPr>
        <w:numPr>
          <w:ilvl w:val="0"/>
          <w:numId w:val="3"/>
        </w:numPr>
        <w:pBdr>
          <w:top w:val="none" w:color="auto" w:sz="0" w:space="0"/>
          <w:left w:val="none" w:color="auto" w:sz="0" w:space="0"/>
          <w:bottom w:val="none" w:color="auto" w:sz="0" w:space="0"/>
          <w:right w:val="none" w:color="auto" w:sz="0" w:space="0"/>
          <w:between w:val="none" w:color="auto" w:sz="0" w:space="0"/>
        </w:pBdr>
        <w:spacing w:before="240"/>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Bir alt ölçütte 4 olgunluk düzeyine karar verebilmek için;</w:t>
      </w:r>
    </w:p>
    <w:p w14:paraId="00000050">
      <w:pPr>
        <w:numPr>
          <w:ilvl w:val="1"/>
          <w:numId w:val="4"/>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Uygulamaların kurumun geneline yayılmış olması,</w:t>
      </w:r>
    </w:p>
    <w:p w14:paraId="00000051">
      <w:pPr>
        <w:numPr>
          <w:ilvl w:val="1"/>
          <w:numId w:val="4"/>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Uygulamalardan sonuç elde edilmiş olması,</w:t>
      </w:r>
    </w:p>
    <w:p w14:paraId="00000052">
      <w:pPr>
        <w:numPr>
          <w:ilvl w:val="1"/>
          <w:numId w:val="4"/>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Bu sonuçların izleniyor olması,</w:t>
      </w:r>
    </w:p>
    <w:p w14:paraId="00000053">
      <w:pPr>
        <w:numPr>
          <w:ilvl w:val="1"/>
          <w:numId w:val="4"/>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İzleme sonuçlarının ilgili paydaşlarla birlikte değerlendirilerek uygulamaların iyileştirilmiş olması,</w:t>
      </w:r>
    </w:p>
    <w:p w14:paraId="00000054">
      <w:pPr>
        <w:numPr>
          <w:ilvl w:val="1"/>
          <w:numId w:val="4"/>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Tüm bunların kanıtlarla desteklenmesi gerekmektedir.</w:t>
      </w:r>
    </w:p>
    <w:p w14:paraId="00000055">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p>
    <w:p w14:paraId="540FBAD9">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Bir alt ölçütte 5 olgunluk düzeyine karar verebilmek için yukarıda yer alan hususların yanı sıra; </w:t>
      </w:r>
    </w:p>
    <w:p w14:paraId="03287F15">
      <w:pPr>
        <w:pStyle w:val="41"/>
        <w:numPr>
          <w:ilvl w:val="0"/>
          <w:numId w:val="5"/>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Uygulamaların sistematikliğinin ve sürdürülebilirliğinin (PUKÖ çevriminin birkaç kez kapatılması),</w:t>
      </w:r>
    </w:p>
    <w:p w14:paraId="6406CBA3">
      <w:pPr>
        <w:pStyle w:val="41"/>
        <w:numPr>
          <w:ilvl w:val="0"/>
          <w:numId w:val="5"/>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Uygulamaların kurumun genelinde katkı sağladığının ve içselleştirildiğinin,</w:t>
      </w:r>
    </w:p>
    <w:p w14:paraId="24E968AE">
      <w:pPr>
        <w:pStyle w:val="41"/>
        <w:numPr>
          <w:ilvl w:val="0"/>
          <w:numId w:val="5"/>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Örnek olabilme durumunun (Bağımsız bir kurum ya da kuruluş tarafından bu durumun teyit edilmesi) karşılandığının, </w:t>
      </w:r>
    </w:p>
    <w:p w14:paraId="631711B5">
      <w:pPr>
        <w:pStyle w:val="41"/>
        <w:pBdr>
          <w:top w:val="none" w:color="auto" w:sz="0" w:space="0"/>
          <w:left w:val="none" w:color="auto" w:sz="0" w:space="0"/>
          <w:bottom w:val="none" w:color="auto" w:sz="0" w:space="0"/>
          <w:right w:val="none" w:color="auto" w:sz="0" w:space="0"/>
          <w:between w:val="none" w:color="auto" w:sz="0" w:space="0"/>
        </w:pBdr>
        <w:ind w:left="1440"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ispatlanması gerekmektedir.</w:t>
      </w:r>
    </w:p>
    <w:p w14:paraId="0000005A">
      <w:pPr>
        <w:pStyle w:val="41"/>
        <w:pBdr>
          <w:top w:val="none" w:color="auto" w:sz="0" w:space="0"/>
          <w:left w:val="none" w:color="auto" w:sz="0" w:space="0"/>
          <w:bottom w:val="none" w:color="auto" w:sz="0" w:space="0"/>
          <w:right w:val="none" w:color="auto" w:sz="0" w:space="0"/>
          <w:between w:val="none" w:color="auto" w:sz="0" w:space="0"/>
        </w:pBdr>
        <w:ind w:left="1440"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 </w:t>
      </w:r>
    </w:p>
    <w:p w14:paraId="0000005B">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Kılavuzda ölçütlerin karşılanma düzeyine ilişkin hangi kanıtların beklendiği her alt ölçüt altında bulunan </w:t>
      </w:r>
      <w:r>
        <w:rPr>
          <w:rFonts w:ascii="CamberW04-Regular" w:hAnsi="CamberW04-Regular" w:eastAsia="CamberW04-Regular" w:cs="CamberW04-Regular"/>
          <w:i/>
          <w:color w:val="000000"/>
          <w:sz w:val="24"/>
          <w:szCs w:val="24"/>
        </w:rPr>
        <w:t>“örnek kanıtlar”</w:t>
      </w:r>
      <w:r>
        <w:rPr>
          <w:rFonts w:ascii="CamberW04-Regular" w:hAnsi="CamberW04-Regular" w:eastAsia="CamberW04-Regular" w:cs="CamberW04-Regular"/>
          <w:color w:val="000000"/>
          <w:sz w:val="24"/>
          <w:szCs w:val="24"/>
        </w:rPr>
        <w:t xml:space="preserve"> bölümünde yer almaktadır. Sunulan kanıtlar rapor içeriği ve seçilen olgunluk </w:t>
      </w:r>
      <w:r>
        <w:rPr>
          <w:rFonts w:ascii="CamberW04-Regular" w:hAnsi="CamberW04-Regular" w:eastAsia="CamberW04-Regular" w:cs="CamberW04-Regular"/>
          <w:sz w:val="24"/>
          <w:szCs w:val="24"/>
        </w:rPr>
        <w:t>düzeyi ile</w:t>
      </w:r>
      <w:r>
        <w:rPr>
          <w:rFonts w:ascii="CamberW04-Regular" w:hAnsi="CamberW04-Regular" w:eastAsia="CamberW04-Regular" w:cs="CamberW04-Regular"/>
          <w:color w:val="000000"/>
          <w:sz w:val="24"/>
          <w:szCs w:val="24"/>
        </w:rPr>
        <w:t xml:space="preserv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 (</w:t>
      </w:r>
      <w:r>
        <w:rPr>
          <w:rFonts w:ascii="CamberW04-Regular" w:hAnsi="CamberW04-Regular" w:eastAsia="CamberW04-Regular" w:cs="CamberW04-Regular"/>
          <w:sz w:val="24"/>
          <w:szCs w:val="24"/>
        </w:rPr>
        <w:t>Bkz</w:t>
      </w:r>
      <w:r>
        <w:rPr>
          <w:rFonts w:ascii="CamberW04-Regular" w:hAnsi="CamberW04-Regular" w:eastAsia="CamberW04-Regular" w:cs="CamberW04-Regular"/>
          <w:color w:val="000000"/>
          <w:sz w:val="24"/>
          <w:szCs w:val="24"/>
        </w:rPr>
        <w:t xml:space="preserve">: </w:t>
      </w:r>
      <w:r>
        <w:rPr>
          <w:rFonts w:ascii="CamberW04-Regular" w:hAnsi="CamberW04-Regular" w:eastAsia="CamberW04-Regular" w:cs="CamberW04-Regular"/>
          <w:sz w:val="24"/>
          <w:szCs w:val="24"/>
        </w:rPr>
        <w:t>Ek-2</w:t>
      </w:r>
      <w:r>
        <w:rPr>
          <w:rFonts w:ascii="CamberW04-Regular" w:hAnsi="CamberW04-Regular" w:eastAsia="CamberW04-Regular" w:cs="CamberW04-Regular"/>
          <w:color w:val="000000"/>
          <w:sz w:val="24"/>
          <w:szCs w:val="24"/>
        </w:rPr>
        <w:t>)</w:t>
      </w:r>
    </w:p>
    <w:p w14:paraId="0000005C">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rPr>
      </w:pPr>
      <w:bookmarkStart w:id="6" w:name="_heading=h.3dy6vkm" w:colFirst="0" w:colLast="0"/>
      <w:bookmarkEnd w:id="6"/>
    </w:p>
    <w:p w14:paraId="0000005E">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Kurum hakkındaki genel bilgiler ile kurumun </w:t>
      </w:r>
      <w:r>
        <w:rPr>
          <w:rFonts w:ascii="CamberW04-Regular" w:hAnsi="CamberW04-Regular" w:eastAsia="CamberW04-Regular" w:cs="CamberW04-Regular"/>
          <w:sz w:val="24"/>
          <w:szCs w:val="24"/>
        </w:rPr>
        <w:t>liderlik</w:t>
      </w:r>
      <w:r>
        <w:rPr>
          <w:rFonts w:ascii="CamberW04-Regular" w:hAnsi="CamberW04-Regular" w:eastAsia="CamberW04-Regular" w:cs="CamberW04-Regular"/>
          <w:color w:val="000000"/>
          <w:sz w:val="24"/>
          <w:szCs w:val="24"/>
        </w:rPr>
        <w:t>, yönetişim ve kalite, eğitim ve öğretim, araştırma ve geliştirme</w:t>
      </w:r>
      <w:r>
        <w:rPr>
          <w:rFonts w:ascii="CamberW04-Regular" w:hAnsi="CamberW04-Regular" w:eastAsia="CamberW04-Regular" w:cs="CamberW04-Regular"/>
          <w:sz w:val="24"/>
          <w:szCs w:val="24"/>
        </w:rPr>
        <w:t xml:space="preserve"> ile</w:t>
      </w:r>
      <w:r>
        <w:rPr>
          <w:rFonts w:ascii="CamberW04-Regular" w:hAnsi="CamberW04-Regular" w:eastAsia="CamberW04-Regular" w:cs="CamberW04-Regular"/>
          <w:color w:val="000000"/>
          <w:sz w:val="24"/>
          <w:szCs w:val="24"/>
        </w:rPr>
        <w:t xml:space="preserve"> toplumsal katkı </w:t>
      </w:r>
      <w:r>
        <w:rPr>
          <w:rFonts w:ascii="CamberW04-Regular" w:hAnsi="CamberW04-Regular" w:eastAsia="CamberW04-Regular" w:cs="CamberW04-Regular"/>
          <w:sz w:val="24"/>
          <w:szCs w:val="24"/>
        </w:rPr>
        <w:t>süreçleriyle</w:t>
      </w:r>
      <w:r>
        <w:rPr>
          <w:rFonts w:ascii="CamberW04-Regular" w:hAnsi="CamberW04-Regular" w:eastAsia="CamberW04-Regular" w:cs="CamberW04-Regular"/>
          <w:color w:val="000000"/>
          <w:sz w:val="24"/>
          <w:szCs w:val="24"/>
        </w:rPr>
        <w:t xml:space="preserve"> ilgili bilgilere ilk yıl raporunda yer verildikten sonra, izleyen yıllarda benzer bilgilerin yeniden verilmesine gerek yoktur. Yalnızca değişen/geliştirilen yönlere ve ilerleme kaydedilemeyen noktalara ilişkin açıklamalara yer verilmesi beklenmektedir.</w:t>
      </w:r>
      <w:r>
        <w:rPr>
          <w:rFonts w:ascii="Times New Roman" w:hAnsi="Times New Roman" w:eastAsia="Times New Roman" w:cs="Times New Roman"/>
          <w:sz w:val="14"/>
          <w:szCs w:val="14"/>
        </w:rPr>
        <w:t xml:space="preserve">        </w:t>
      </w:r>
      <w:r>
        <w:rPr>
          <w:rFonts w:ascii="CamberW04-Regular" w:hAnsi="CamberW04-Regular" w:eastAsia="CamberW04-Regular" w:cs="CamberW04-Regular"/>
          <w:sz w:val="24"/>
          <w:szCs w:val="24"/>
        </w:rPr>
        <w:t>Gerektiği durumlarda daha önceki yıllarda hazırlanan KİDR’lere yıl belirtilerek atıfta bulunulabilir. Kurum, daha önce dış değerlendirme program(lar)ına dâhil olmuş ise KGBR/KAR/İzleme Raporu/Ara Değerlendirme Raporunda yer alan geri bildirimler kapsamında gerçekleştirilen iyileştirme faaliyetlerine, bu kapsamdaki somut iyileştirme sonuçlarına ve ilerleme kaydedilemeyen noktalar ile bunların nedenlerine yer verilmelidir.</w:t>
      </w:r>
    </w:p>
    <w:p w14:paraId="0000005F">
      <w:pPr>
        <w:pBdr>
          <w:top w:val="none" w:color="auto" w:sz="0" w:space="0"/>
          <w:left w:val="none" w:color="auto" w:sz="0" w:space="0"/>
          <w:bottom w:val="none" w:color="auto" w:sz="0" w:space="0"/>
          <w:right w:val="none" w:color="auto" w:sz="0" w:space="0"/>
          <w:between w:val="none" w:color="auto" w:sz="0" w:space="0"/>
        </w:pBdr>
        <w:rPr>
          <w:rFonts w:ascii="CamberW04-Regular" w:hAnsi="CamberW04-Regular" w:eastAsia="CamberW04-Regular" w:cs="CamberW04-Regular"/>
          <w:color w:val="000000"/>
        </w:rPr>
      </w:pPr>
    </w:p>
    <w:p w14:paraId="00000060">
      <w:pPr>
        <w:numPr>
          <w:ilvl w:val="0"/>
          <w:numId w:val="3"/>
        </w:num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 xml:space="preserve">KİDR hazırlanırken kılavuzda yer alan hususlara ilişkin </w:t>
      </w:r>
      <w:r>
        <w:rPr>
          <w:rFonts w:ascii="CamberW04-Regular" w:hAnsi="CamberW04-Regular" w:eastAsia="CamberW04-Regular" w:cs="CamberW04-Regular"/>
          <w:i/>
          <w:color w:val="000000"/>
          <w:sz w:val="24"/>
          <w:szCs w:val="24"/>
        </w:rPr>
        <w:t>“bu husus kurumumuzda mevcuttur”</w:t>
      </w:r>
      <w:r>
        <w:rPr>
          <w:rFonts w:ascii="CamberW04-Regular" w:hAnsi="CamberW04-Regular" w:eastAsia="CamberW04-Regular" w:cs="CamberW04-Regular"/>
          <w:color w:val="000000"/>
          <w:sz w:val="24"/>
          <w:szCs w:val="24"/>
        </w:rPr>
        <w:t xml:space="preserve">, </w:t>
      </w:r>
      <w:r>
        <w:rPr>
          <w:rFonts w:ascii="CamberW04-Regular" w:hAnsi="CamberW04-Regular" w:eastAsia="CamberW04-Regular" w:cs="CamberW04-Regular"/>
          <w:i/>
          <w:color w:val="000000"/>
          <w:sz w:val="24"/>
          <w:szCs w:val="24"/>
        </w:rPr>
        <w:t>“bu hususa ilişkin uygulama bulunmaktadır”</w:t>
      </w:r>
      <w:r>
        <w:rPr>
          <w:rFonts w:ascii="CamberW04-Regular" w:hAnsi="CamberW04-Regular" w:eastAsia="CamberW04-Regular" w:cs="CamberW04-Regular"/>
          <w:color w:val="000000"/>
          <w:sz w:val="24"/>
          <w:szCs w:val="24"/>
        </w:rPr>
        <w:t xml:space="preserve">, </w:t>
      </w:r>
      <w:r>
        <w:rPr>
          <w:rFonts w:ascii="CamberW04-Regular" w:hAnsi="CamberW04-Regular" w:eastAsia="CamberW04-Regular" w:cs="CamberW04-Regular"/>
          <w:i/>
          <w:color w:val="000000"/>
          <w:sz w:val="24"/>
          <w:szCs w:val="24"/>
        </w:rPr>
        <w:t>“kurumumuzda söz konusu sistem bulunmaktadır”</w:t>
      </w:r>
      <w:r>
        <w:rPr>
          <w:rFonts w:ascii="CamberW04-Regular" w:hAnsi="CamberW04-Regular" w:eastAsia="CamberW04-Regular" w:cs="CamberW04-Regular"/>
          <w:color w:val="000000"/>
          <w:sz w:val="24"/>
          <w:szCs w:val="24"/>
        </w:rPr>
        <w:t xml:space="preserve"> şeklinde kısa cevaplar vermek yerine, ilgili sürecin kurumda nasıl işlediğine ve yönetildiğine ilişkin ayrıntıya yer verecek şekilde bir yöntemin izlenmesi beklenmektedir. Ayrıca kılavuzda yer alan hususlar dışında dikkat çekilmek istenen kuruma özgü durumlar söz konusu ise bunlara da raporda yer verilebileceği unutulmamalıdır.</w:t>
      </w:r>
    </w:p>
    <w:p w14:paraId="00000061">
      <w:pPr>
        <w:pBdr>
          <w:top w:val="none" w:color="auto" w:sz="0" w:space="0"/>
          <w:left w:val="none" w:color="auto" w:sz="0" w:space="0"/>
          <w:bottom w:val="none" w:color="auto" w:sz="0" w:space="0"/>
          <w:right w:val="none" w:color="auto" w:sz="0" w:space="0"/>
          <w:between w:val="none" w:color="auto" w:sz="0" w:space="0"/>
        </w:pBdr>
        <w:ind w:left="720" w:right="63"/>
        <w:jc w:val="both"/>
        <w:rPr>
          <w:rFonts w:ascii="CamberW04-Regular" w:hAnsi="CamberW04-Regular" w:eastAsia="CamberW04-Regular" w:cs="CamberW04-Regular"/>
          <w:color w:val="000000"/>
          <w:sz w:val="24"/>
          <w:szCs w:val="24"/>
        </w:rPr>
      </w:pPr>
    </w:p>
    <w:p w14:paraId="00000062">
      <w:pPr>
        <w:pBdr>
          <w:top w:val="none" w:color="auto" w:sz="0" w:space="0"/>
          <w:left w:val="none" w:color="auto" w:sz="0" w:space="0"/>
          <w:bottom w:val="none" w:color="auto" w:sz="0" w:space="0"/>
          <w:right w:val="none" w:color="auto" w:sz="0" w:space="0"/>
          <w:between w:val="none" w:color="auto" w:sz="0" w:space="0"/>
        </w:pBdr>
        <w:rPr>
          <w:rFonts w:ascii="CamberW04-Regular" w:hAnsi="CamberW04-Regular" w:eastAsia="CamberW04-Regular" w:cs="CamberW04-Regular"/>
          <w:color w:val="000000"/>
        </w:rPr>
      </w:pPr>
    </w:p>
    <w:p w14:paraId="00000063">
      <w:pPr>
        <w:pBdr>
          <w:top w:val="none" w:color="auto" w:sz="0" w:space="0"/>
          <w:left w:val="none" w:color="auto" w:sz="0" w:space="0"/>
          <w:bottom w:val="none" w:color="auto" w:sz="0" w:space="0"/>
          <w:right w:val="none" w:color="auto" w:sz="0" w:space="0"/>
          <w:between w:val="none" w:color="auto" w:sz="0" w:space="0"/>
        </w:pBdr>
        <w:ind w:left="360" w:right="63"/>
        <w:jc w:val="both"/>
        <w:rPr>
          <w:rFonts w:ascii="CamberW04-Regular" w:hAnsi="CamberW04-Regular" w:eastAsia="CamberW04-Regular" w:cs="CamberW04-Regular"/>
          <w:color w:val="000000"/>
          <w:sz w:val="24"/>
          <w:szCs w:val="24"/>
        </w:rPr>
      </w:pPr>
    </w:p>
    <w:p w14:paraId="00000065">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sectPr>
          <w:pgSz w:w="11906" w:h="16838"/>
          <w:pgMar w:top="1380" w:right="1120" w:bottom="1180" w:left="1418" w:header="0" w:footer="998" w:gutter="0"/>
          <w:cols w:space="708" w:num="1"/>
        </w:sectPr>
      </w:pPr>
    </w:p>
    <w:p w14:paraId="00000066">
      <w:pPr>
        <w:pStyle w:val="2"/>
      </w:pPr>
      <w:bookmarkStart w:id="7" w:name="_Toc154652309"/>
      <w:r>
        <w:t>EK.1 KURUM İÇ DEĞERLENDİRME RAPORU ŞABLONU</w:t>
      </w:r>
      <w:bookmarkEnd w:id="7"/>
    </w:p>
    <w:p w14:paraId="13A7A1F6">
      <w:pPr>
        <w:pStyle w:val="2"/>
      </w:pPr>
    </w:p>
    <w:p w14:paraId="00000067">
      <w:pPr>
        <w:pStyle w:val="3"/>
      </w:pPr>
      <w:bookmarkStart w:id="8" w:name="_Toc154652310"/>
      <w:r>
        <w:t>Özet</w:t>
      </w:r>
      <w:bookmarkEnd w:id="8"/>
    </w:p>
    <w:p w14:paraId="64A684B9">
      <w:pPr>
        <w:pStyle w:val="3"/>
        <w:rPr>
          <w:b w:val="0"/>
          <w:bCs w:val="0"/>
        </w:rPr>
      </w:pPr>
      <w:bookmarkStart w:id="9" w:name="_Toc154652311"/>
      <w:r>
        <w:rPr>
          <w:b w:val="0"/>
          <w:bCs w:val="0"/>
        </w:rPr>
        <w:t>Bu rapor, Sağlık Bilimleri Fakültesi’nin 2025 yılındaki akademik, idari ve toplumsal faaliyetlerini Yükseköğretim Kalite Kurulu (YÖKAK) standartlarına göre analiz etmek amacıyla hazırlanmıştır.</w:t>
      </w:r>
    </w:p>
    <w:p w14:paraId="00000069">
      <w:pPr>
        <w:pStyle w:val="3"/>
      </w:pPr>
      <w:r>
        <w:t>Kurum Hakkında Bilgiler</w:t>
      </w:r>
      <w:bookmarkEnd w:id="9"/>
    </w:p>
    <w:p w14:paraId="55670DF2">
      <w:pPr>
        <w:pStyle w:val="3"/>
      </w:pPr>
    </w:p>
    <w:p w14:paraId="0000006B">
      <w:pPr>
        <w:ind w:firstLine="720"/>
        <w:rPr>
          <w:rFonts w:ascii="CamberW04-Regular" w:hAnsi="CamberW04-Regular"/>
          <w:b/>
          <w:bCs/>
          <w:sz w:val="24"/>
          <w:szCs w:val="24"/>
        </w:rPr>
      </w:pPr>
      <w:r>
        <w:rPr>
          <w:rFonts w:ascii="CamberW04-Regular" w:hAnsi="CamberW04-Regular"/>
          <w:b/>
          <w:bCs/>
          <w:sz w:val="24"/>
          <w:szCs w:val="24"/>
        </w:rPr>
        <w:t>1. İletişim Bilgileri</w:t>
      </w:r>
    </w:p>
    <w:p w14:paraId="528F33BB">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260" w:lineRule="atLeast"/>
        <w:ind w:left="0" w:right="0" w:firstLine="0"/>
        <w:jc w:val="left"/>
        <w:rPr>
          <w:rFonts w:hint="default" w:ascii="CamberW04-Regular" w:hAnsi="CamberW04-Regular" w:eastAsia="CamberW04-Regular" w:cs="CamberW04-Regular"/>
          <w:b w:val="0"/>
          <w:bCs w:val="0"/>
          <w:sz w:val="24"/>
          <w:szCs w:val="28"/>
          <w:lang w:val="tr-TR" w:eastAsia="tr-TR" w:bidi="ar-SA"/>
        </w:rPr>
      </w:pPr>
      <w:r>
        <w:rPr>
          <w:rFonts w:hint="default" w:ascii="CamberW04-Regular" w:hAnsi="CamberW04-Regular" w:eastAsia="CamberW04-Regular" w:cs="CamberW04-Regular"/>
          <w:b w:val="0"/>
          <w:bCs w:val="0"/>
          <w:sz w:val="24"/>
          <w:szCs w:val="28"/>
          <w:lang w:val="tr-TR" w:eastAsia="tr-TR" w:bidi="ar-SA"/>
        </w:rPr>
        <w:t>Adres: Kahramanmaraş Sütçü İmam Üniversitesi Sağlık Bilimleri Fakültesi Avşar Mahallesi Batı Çevre Yolu Bulvarı  46100 (Teknik Bilimler Meslek Yüksekokulu binası)    Onikişubat/ Kahramanmaraş </w:t>
      </w:r>
    </w:p>
    <w:p w14:paraId="47AA39B7">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260" w:lineRule="atLeast"/>
        <w:ind w:left="0" w:right="0" w:firstLine="0"/>
        <w:rPr>
          <w:rFonts w:hint="default" w:ascii="CamberW04-Regular" w:hAnsi="CamberW04-Regular" w:eastAsia="CamberW04-Regular" w:cs="CamberW04-Regular"/>
          <w:b w:val="0"/>
          <w:bCs w:val="0"/>
          <w:sz w:val="24"/>
          <w:szCs w:val="28"/>
          <w:lang w:val="tr-TR" w:eastAsia="tr-TR" w:bidi="ar-SA"/>
        </w:rPr>
      </w:pPr>
      <w:r>
        <w:rPr>
          <w:rFonts w:hint="default" w:ascii="CamberW04-Regular" w:hAnsi="CamberW04-Regular" w:eastAsia="CamberW04-Regular" w:cs="CamberW04-Regular"/>
          <w:b w:val="0"/>
          <w:bCs w:val="0"/>
          <w:sz w:val="24"/>
          <w:szCs w:val="28"/>
          <w:lang w:val="tr-TR" w:eastAsia="tr-TR" w:bidi="ar-SA"/>
        </w:rPr>
        <w:t>Telefon: 0 344 300 26 01</w:t>
      </w:r>
    </w:p>
    <w:p w14:paraId="3861FD3F">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260" w:lineRule="atLeast"/>
        <w:ind w:left="0" w:right="0" w:firstLine="0"/>
        <w:rPr>
          <w:rFonts w:hint="default" w:ascii="CamberW04-Regular" w:hAnsi="CamberW04-Regular" w:eastAsia="CamberW04-Regular" w:cs="CamberW04-Regular"/>
          <w:b w:val="0"/>
          <w:bCs w:val="0"/>
          <w:sz w:val="24"/>
          <w:szCs w:val="28"/>
          <w:lang w:val="tr-TR" w:eastAsia="tr-TR" w:bidi="ar-SA"/>
        </w:rPr>
      </w:pPr>
      <w:r>
        <w:rPr>
          <w:rFonts w:hint="default" w:ascii="CamberW04-Regular" w:hAnsi="CamberW04-Regular" w:eastAsia="CamberW04-Regular" w:cs="CamberW04-Regular"/>
          <w:b w:val="0"/>
          <w:bCs w:val="0"/>
          <w:sz w:val="24"/>
          <w:szCs w:val="28"/>
          <w:lang w:val="tr-TR" w:eastAsia="tr-TR" w:bidi="ar-SA"/>
        </w:rPr>
        <w:t>Faks:      0 344 300 26 02</w:t>
      </w:r>
      <w:bookmarkStart w:id="35" w:name="_GoBack"/>
      <w:bookmarkEnd w:id="35"/>
    </w:p>
    <w:p w14:paraId="63ABABB6">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260" w:lineRule="atLeast"/>
        <w:ind w:left="0" w:right="0" w:firstLine="0"/>
        <w:rPr>
          <w:rFonts w:hint="default" w:ascii="CamberW04-Regular" w:hAnsi="CamberW04-Regular" w:eastAsia="CamberW04-Regular" w:cs="CamberW04-Regular"/>
          <w:b w:val="0"/>
          <w:bCs w:val="0"/>
          <w:sz w:val="24"/>
          <w:szCs w:val="28"/>
          <w:lang w:val="en-US" w:eastAsia="tr-TR" w:bidi="ar-SA"/>
        </w:rPr>
      </w:pPr>
      <w:r>
        <w:rPr>
          <w:rFonts w:hint="default" w:ascii="CamberW04-Regular" w:hAnsi="CamberW04-Regular" w:eastAsia="CamberW04-Regular" w:cs="CamberW04-Regular"/>
          <w:b w:val="0"/>
          <w:bCs w:val="0"/>
          <w:sz w:val="24"/>
          <w:szCs w:val="28"/>
          <w:lang w:val="tr-TR" w:eastAsia="tr-TR" w:bidi="ar-SA"/>
        </w:rPr>
        <w:t>E-posta:</w:t>
      </w:r>
      <w:r>
        <w:rPr>
          <w:rFonts w:hint="default" w:ascii="CamberW04-Regular" w:hAnsi="CamberW04-Regular" w:eastAsia="CamberW04-Regular" w:cs="CamberW04-Regular"/>
          <w:b w:val="0"/>
          <w:bCs w:val="0"/>
          <w:sz w:val="24"/>
          <w:szCs w:val="28"/>
          <w:lang w:val="tr-TR" w:eastAsia="tr-TR" w:bidi="ar-SA"/>
        </w:rPr>
        <w:fldChar w:fldCharType="begin"/>
      </w:r>
      <w:r>
        <w:rPr>
          <w:rFonts w:hint="default" w:ascii="CamberW04-Regular" w:hAnsi="CamberW04-Regular" w:eastAsia="CamberW04-Regular" w:cs="CamberW04-Regular"/>
          <w:b w:val="0"/>
          <w:bCs w:val="0"/>
          <w:sz w:val="24"/>
          <w:szCs w:val="28"/>
          <w:lang w:val="tr-TR" w:eastAsia="tr-TR" w:bidi="ar-SA"/>
        </w:rPr>
        <w:instrText xml:space="preserve"> HYPERLINK "mailto:sbf@ksu.edu.tr" </w:instrText>
      </w:r>
      <w:r>
        <w:rPr>
          <w:rFonts w:hint="default" w:ascii="CamberW04-Regular" w:hAnsi="CamberW04-Regular" w:eastAsia="CamberW04-Regular" w:cs="CamberW04-Regular"/>
          <w:b w:val="0"/>
          <w:bCs w:val="0"/>
          <w:sz w:val="24"/>
          <w:szCs w:val="28"/>
          <w:lang w:val="tr-TR" w:eastAsia="tr-TR" w:bidi="ar-SA"/>
        </w:rPr>
        <w:fldChar w:fldCharType="separate"/>
      </w:r>
      <w:r>
        <w:rPr>
          <w:rFonts w:hint="default" w:ascii="CamberW04-Regular" w:hAnsi="CamberW04-Regular" w:eastAsia="CamberW04-Regular" w:cs="CamberW04-Regular"/>
          <w:b w:val="0"/>
          <w:bCs w:val="0"/>
          <w:sz w:val="24"/>
          <w:szCs w:val="28"/>
          <w:lang w:val="tr-TR" w:eastAsia="tr-TR" w:bidi="ar-SA"/>
        </w:rPr>
        <w:t>sbf@ksu.edu.tr</w:t>
      </w:r>
      <w:r>
        <w:rPr>
          <w:rFonts w:hint="default" w:ascii="CamberW04-Regular" w:hAnsi="CamberW04-Regular" w:eastAsia="CamberW04-Regular" w:cs="CamberW04-Regular"/>
          <w:b w:val="0"/>
          <w:bCs w:val="0"/>
          <w:sz w:val="24"/>
          <w:szCs w:val="28"/>
          <w:lang w:val="tr-TR" w:eastAsia="tr-TR" w:bidi="ar-SA"/>
        </w:rPr>
        <w:fldChar w:fldCharType="end"/>
      </w:r>
      <w:r>
        <w:rPr>
          <w:rFonts w:hint="default" w:ascii="CamberW04-Regular" w:hAnsi="CamberW04-Regular" w:eastAsia="CamberW04-Regular" w:cs="CamberW04-Regular"/>
          <w:b w:val="0"/>
          <w:bCs w:val="0"/>
          <w:sz w:val="24"/>
          <w:szCs w:val="28"/>
          <w:lang w:val="en-US" w:eastAsia="tr-TR" w:bidi="ar-SA"/>
        </w:rPr>
        <w:t xml:space="preserve"> </w:t>
      </w:r>
      <w:r>
        <w:rPr>
          <w:rFonts w:hint="default" w:ascii="CamberW04-Regular" w:hAnsi="CamberW04-Regular" w:eastAsia="CamberW04-Regular" w:cs="CamberW04-Regular"/>
          <w:b w:val="0"/>
          <w:bCs w:val="0"/>
          <w:sz w:val="24"/>
          <w:szCs w:val="28"/>
          <w:lang w:val="tr-TR" w:eastAsia="tr-TR" w:bidi="ar-SA"/>
        </w:rPr>
        <w:t xml:space="preserve"> </w:t>
      </w:r>
    </w:p>
    <w:p w14:paraId="0000006D">
      <w:pPr>
        <w:ind w:firstLine="720"/>
        <w:rPr>
          <w:rFonts w:ascii="CamberW04-Regular" w:hAnsi="CamberW04-Regular"/>
          <w:b/>
          <w:bCs/>
          <w:sz w:val="24"/>
          <w:szCs w:val="24"/>
        </w:rPr>
      </w:pPr>
      <w:r>
        <w:rPr>
          <w:rFonts w:ascii="CamberW04-Regular" w:hAnsi="CamberW04-Regular"/>
          <w:b/>
          <w:bCs/>
          <w:sz w:val="24"/>
          <w:szCs w:val="24"/>
        </w:rPr>
        <w:t xml:space="preserve">2. Tarihsel Gelişimi </w:t>
      </w:r>
    </w:p>
    <w:p w14:paraId="0000006F">
      <w:pPr>
        <w:pBdr>
          <w:top w:val="none" w:color="auto" w:sz="0" w:space="0"/>
          <w:left w:val="none" w:color="auto" w:sz="0" w:space="0"/>
          <w:bottom w:val="none" w:color="auto" w:sz="0" w:space="0"/>
          <w:right w:val="none" w:color="auto" w:sz="0" w:space="0"/>
          <w:between w:val="none" w:color="auto" w:sz="0" w:space="0"/>
        </w:pBdr>
        <w:ind w:right="63"/>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Fakültemiz; Yükseköğretim Kurulu Başkanlığının teklifi ve Bakanlar Kurulunun 06 Temmuz 2018 tarih ve 30470 Sayılı Resmi Gazetede yayımlanan 2018/12001 sayılı kararı ile kurulmuştur. Daha önce Kahramanmaraş Sağlık Yüksekokulu olarak, Yükseköğretim Kurulu Başkanlığının teklifi ve Bakanlar Kurulunun 02 Kasım 1996 tarih ve 22805 Sayılı Resmi Gazetede yayımlanan 10/10/1996 gün ve 96/8665 sayılı kararı ile kurulmuş ve 1997- 1998 eğitim-öğretim yılından itibaren Hemşirelik ve Ebelik bölümleri ile eğitim-öğretim faaliyetlerine başlamış ve Sağlık Bilimleri Fakültesine dönüşene kadar da sürdürmüştür.</w:t>
      </w:r>
    </w:p>
    <w:p w14:paraId="5BC5E20E">
      <w:pPr>
        <w:ind w:firstLine="720"/>
        <w:rPr>
          <w:rFonts w:ascii="CamberW04-Regular" w:hAnsi="CamberW04-Regular"/>
          <w:b/>
          <w:bCs/>
          <w:sz w:val="24"/>
          <w:szCs w:val="24"/>
        </w:rPr>
      </w:pPr>
      <w:r>
        <w:rPr>
          <w:rFonts w:ascii="CamberW04-Regular" w:hAnsi="CamberW04-Regular"/>
          <w:b/>
          <w:bCs/>
          <w:sz w:val="24"/>
          <w:szCs w:val="24"/>
        </w:rPr>
        <w:t xml:space="preserve">3. Misyonu, Vizyonu, Değerleri ve Hedefleri </w:t>
      </w:r>
    </w:p>
    <w:p w14:paraId="3B8F6D6A">
      <w:pPr>
        <w:rPr>
          <w:rFonts w:ascii="CamberW04-Regular" w:hAnsi="CamberW04-Regular" w:eastAsia="CamberW04-Regular" w:cs="CamberW04-Regular"/>
          <w:b/>
          <w:bCs/>
          <w:color w:val="000000"/>
          <w:sz w:val="24"/>
          <w:szCs w:val="24"/>
        </w:rPr>
      </w:pPr>
      <w:r>
        <w:rPr>
          <w:rFonts w:hint="default" w:ascii="CamberW04-Regular" w:hAnsi="CamberW04-Regular" w:eastAsia="CamberW04-Regular" w:cs="CamberW04-Regular"/>
          <w:b/>
          <w:bCs/>
          <w:color w:val="000000"/>
          <w:sz w:val="24"/>
          <w:szCs w:val="24"/>
        </w:rPr>
        <w:t>Misyon:</w:t>
      </w:r>
    </w:p>
    <w:p w14:paraId="13722443">
      <w:pPr>
        <w:rPr>
          <w:rFonts w:hint="default" w:ascii="CamberW04-Regular" w:hAnsi="CamberW04-Regular" w:eastAsia="CamberW04-Regular" w:cs="CamberW04-Regular"/>
          <w:color w:val="000000"/>
          <w:sz w:val="24"/>
          <w:szCs w:val="24"/>
        </w:rPr>
      </w:pPr>
      <w:r>
        <w:rPr>
          <w:rFonts w:hint="default" w:ascii="CamberW04-Regular" w:hAnsi="CamberW04-Regular" w:eastAsia="CamberW04-Regular" w:cs="CamberW04-Regular"/>
          <w:color w:val="000000"/>
          <w:sz w:val="24"/>
          <w:szCs w:val="24"/>
        </w:rPr>
        <w:t>Ulusal ve uluslararası mesleki ölçütlere uygun olarak hazırlanmış eğitim programları aracılığıyla, evrensel değerler ışığında, bilim ve teknoloji birikiminden yararlanarak ülkenin geleceği için üstün nitelikli bireyler yetiştirmeyi, ulusal ve evrensel insani değerlere saygılı, meslek alanında ki kalitesi ile gerekli ve yeterli bilgi ile beceriye sahip, yetkin profesyoneller yetiştirmektir.</w:t>
      </w:r>
    </w:p>
    <w:p w14:paraId="0BAC9715">
      <w:pPr>
        <w:rPr>
          <w:rFonts w:hint="default" w:ascii="CamberW04-Regular" w:hAnsi="CamberW04-Regular" w:eastAsia="CamberW04-Regular" w:cs="CamberW04-Regular"/>
          <w:b/>
          <w:bCs/>
          <w:color w:val="000000"/>
          <w:sz w:val="24"/>
          <w:szCs w:val="24"/>
        </w:rPr>
      </w:pPr>
      <w:r>
        <w:rPr>
          <w:rFonts w:hint="default" w:ascii="CamberW04-Regular" w:hAnsi="CamberW04-Regular" w:eastAsia="CamberW04-Regular" w:cs="CamberW04-Regular"/>
          <w:b/>
          <w:bCs/>
          <w:color w:val="000000"/>
          <w:sz w:val="24"/>
          <w:szCs w:val="24"/>
        </w:rPr>
        <w:t>Vizyon:</w:t>
      </w:r>
    </w:p>
    <w:p w14:paraId="561C1364">
      <w:pPr>
        <w:rPr>
          <w:rFonts w:hint="default" w:ascii="CamberW04-Regular" w:hAnsi="CamberW04-Regular" w:eastAsia="CamberW04-Regular" w:cs="CamberW04-Regular"/>
          <w:color w:val="000000"/>
          <w:sz w:val="24"/>
          <w:szCs w:val="24"/>
        </w:rPr>
      </w:pPr>
      <w:r>
        <w:rPr>
          <w:rFonts w:hint="default" w:ascii="CamberW04-Regular" w:hAnsi="CamberW04-Regular" w:eastAsia="CamberW04-Regular" w:cs="CamberW04-Regular"/>
          <w:color w:val="000000"/>
          <w:sz w:val="24"/>
          <w:szCs w:val="24"/>
        </w:rPr>
        <w:t>Her yönüyle eksiksiz yetişmiş kendisi ve çevresine faydalı, içinde yaşadığı topluma yol gösterebilen, dünyayla entegre olabilecek çağdaş dimağları insanlık hizmetine sunan öncü eğitim kurumları arasında olmaktır. </w:t>
      </w:r>
    </w:p>
    <w:p w14:paraId="5212E78C">
      <w:pPr>
        <w:rPr>
          <w:rFonts w:ascii="CamberW04-Regular" w:hAnsi="CamberW04-Regular" w:eastAsia="CamberW04-Regular" w:cs="CamberW04-Regular"/>
          <w:color w:val="000000"/>
          <w:sz w:val="24"/>
          <w:szCs w:val="24"/>
        </w:rPr>
      </w:pPr>
    </w:p>
    <w:p w14:paraId="00000073">
      <w:pPr>
        <w:jc w:val="both"/>
        <w:rPr>
          <w:rFonts w:ascii="CamberW04-Regular" w:hAnsi="CamberW04-Regular" w:eastAsia="CamberW04-Regular" w:cs="CamberW04-Regular"/>
          <w:color w:val="000000"/>
          <w:sz w:val="24"/>
          <w:szCs w:val="24"/>
        </w:rPr>
      </w:pPr>
      <w:r>
        <w:rPr>
          <w:rFonts w:ascii="CamberW04-Regular" w:hAnsi="CamberW04-Regular" w:eastAsia="CamberW04-Regular" w:cs="CamberW04-Regular"/>
          <w:color w:val="000000"/>
          <w:sz w:val="24"/>
          <w:szCs w:val="24"/>
        </w:rPr>
        <w:t>Aşağıda yer alan başlıkların yazımı için YÖKAK Dereceli Değerlendirme Anahtarı kullanılacaktır.</w:t>
      </w:r>
    </w:p>
    <w:p w14:paraId="00000074">
      <w:pPr>
        <w:jc w:val="both"/>
        <w:rPr>
          <w:rFonts w:ascii="CamberW04-Regular" w:hAnsi="CamberW04-Regular" w:eastAsia="CamberW04-Regular" w:cs="CamberW04-Regular"/>
          <w:color w:val="000000"/>
        </w:rPr>
      </w:pPr>
    </w:p>
    <w:p w14:paraId="00000075">
      <w:pPr>
        <w:pStyle w:val="41"/>
        <w:numPr>
          <w:ilvl w:val="0"/>
          <w:numId w:val="6"/>
        </w:numPr>
        <w:rPr>
          <w:rFonts w:ascii="CamberW04-Medium" w:hAnsi="CamberW04-Medium"/>
          <w:sz w:val="24"/>
          <w:szCs w:val="24"/>
        </w:rPr>
      </w:pPr>
      <w:r>
        <w:rPr>
          <w:rFonts w:ascii="CamberW04-Medium" w:hAnsi="CamberW04-Medium"/>
          <w:sz w:val="24"/>
          <w:szCs w:val="24"/>
        </w:rPr>
        <w:t>LİDERLİK, YÖNETİŞİM VE KALİTE</w:t>
      </w:r>
    </w:p>
    <w:p w14:paraId="00000076">
      <w:pPr>
        <w:pStyle w:val="41"/>
        <w:numPr>
          <w:ilvl w:val="0"/>
          <w:numId w:val="6"/>
        </w:numPr>
        <w:rPr>
          <w:rFonts w:ascii="CamberW04-Medium" w:hAnsi="CamberW04-Medium"/>
          <w:sz w:val="24"/>
          <w:szCs w:val="24"/>
        </w:rPr>
      </w:pPr>
      <w:r>
        <w:rPr>
          <w:rFonts w:ascii="CamberW04-Medium" w:hAnsi="CamberW04-Medium"/>
          <w:sz w:val="24"/>
          <w:szCs w:val="24"/>
        </w:rPr>
        <w:t>EĞİTİM VE ÖĞRETİM</w:t>
      </w:r>
    </w:p>
    <w:p w14:paraId="00000077">
      <w:pPr>
        <w:pStyle w:val="41"/>
        <w:numPr>
          <w:ilvl w:val="0"/>
          <w:numId w:val="6"/>
        </w:numPr>
        <w:rPr>
          <w:rFonts w:ascii="CamberW04-Medium" w:hAnsi="CamberW04-Medium"/>
          <w:sz w:val="24"/>
          <w:szCs w:val="24"/>
        </w:rPr>
      </w:pPr>
      <w:r>
        <w:rPr>
          <w:rFonts w:ascii="CamberW04-Medium" w:hAnsi="CamberW04-Medium"/>
          <w:sz w:val="24"/>
          <w:szCs w:val="24"/>
        </w:rPr>
        <w:t>ARAŞTIRMA VE GELİŞTİRME</w:t>
      </w:r>
    </w:p>
    <w:p w14:paraId="00000078">
      <w:pPr>
        <w:pStyle w:val="41"/>
        <w:numPr>
          <w:ilvl w:val="0"/>
          <w:numId w:val="6"/>
        </w:numPr>
      </w:pPr>
      <w:r>
        <w:rPr>
          <w:rFonts w:ascii="CamberW04-Medium" w:hAnsi="CamberW04-Medium"/>
          <w:sz w:val="24"/>
          <w:szCs w:val="24"/>
        </w:rPr>
        <w:t>TOPLUMSAL KATKI</w:t>
      </w:r>
      <w:r>
        <w:br w:type="textWrapping"/>
      </w:r>
    </w:p>
    <w:p w14:paraId="00000079">
      <w:pPr>
        <w:pStyle w:val="3"/>
      </w:pPr>
      <w:bookmarkStart w:id="10" w:name="_Toc154652312"/>
      <w:r>
        <w:t>Sonuç ve Değerlendirme</w:t>
      </w:r>
      <w:bookmarkEnd w:id="10"/>
    </w:p>
    <w:p w14:paraId="0DC397FF">
      <w:pPr>
        <w:pStyle w:val="21"/>
        <w:keepNext w:val="0"/>
        <w:keepLines w:val="0"/>
        <w:widowControl/>
        <w:suppressLineNumbers w:val="0"/>
      </w:pPr>
      <w:r>
        <w:t>Sağlık Bilimleri Fakültesi, akreditasyon odaklı müfredat güncellemeleri ve yüksek bütçeli Ar-Ge projeleriyle kalite süreçlerinde önemli bir olgunluk düzeyine ulaşmış; izleme raporlarında belirtilen fiziksel altyapı ihtiyaçlarını ise laboratuvar modernizasyonu ve simülasyon temelli yatırımlarla büyük ölçüde iyileştirmiştir.</w:t>
      </w:r>
      <w:r>
        <w:rPr>
          <w:rFonts w:hint="default"/>
          <w:lang w:val="tr-TR"/>
        </w:rPr>
        <w:t xml:space="preserve"> </w:t>
      </w:r>
      <w:r>
        <w:t>Bununla birlikte, yakalanan akademik ivmenin sürdürülebilirliği adına idari hizmet memnuniyetinin artırılması ve uluslararası hareketlilik kapasitesinin daha etkin kullanılması, fakültenin önümüzdeki dönem için öncelikli gelişim alanları olarak belirlenmiştir.</w:t>
      </w:r>
    </w:p>
    <w:p w14:paraId="70BEAE22">
      <w:pPr>
        <w:pStyle w:val="2"/>
      </w:pPr>
      <w:bookmarkStart w:id="11" w:name="_Toc154652313"/>
    </w:p>
    <w:p w14:paraId="0000007E">
      <w:pPr>
        <w:pStyle w:val="2"/>
      </w:pPr>
      <w:r>
        <w:t>EK.2 KURUM İÇ DEĞERLENDİRME RAPORU YAZIM KILAVUZU</w:t>
      </w:r>
      <w:bookmarkEnd w:id="11"/>
    </w:p>
    <w:p w14:paraId="0000007F">
      <w:pPr>
        <w:widowControl/>
        <w:spacing w:before="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 xml:space="preserve">Bu kılavuz, KİDR için ortak bir yazım biçimi oluşturmak ve okuyucu kolaylığı sağlamak amacıyla hazırlanmıştır. Kurumlardan, KİDR’lerini yazarken bu kurallar çerçevesinde çalışmaları beklenmektedir. KİDR yazımında genel beklentiler ve yazım kuralları paydaşlardan gelen geri bildirimler doğrultusunda hazırlanmıştır. Kılavuz, öncelikle genel beklentileri açıklamakta, yazım stilleri için tablo ile yönlendirme yapılmakta ve kanıt kullanımında dikkat edilecek hususları içermektedir. </w:t>
      </w:r>
    </w:p>
    <w:p w14:paraId="00000080">
      <w:pPr>
        <w:widowControl/>
        <w:jc w:val="both"/>
        <w:rPr>
          <w:rFonts w:ascii="CamberW04-Regular" w:hAnsi="CamberW04-Regular" w:eastAsia="Times New Roman" w:cs="Times New Roman"/>
          <w:sz w:val="24"/>
          <w:szCs w:val="24"/>
        </w:rPr>
      </w:pPr>
    </w:p>
    <w:p w14:paraId="00000081">
      <w:pPr>
        <w:pStyle w:val="3"/>
      </w:pPr>
      <w:bookmarkStart w:id="12" w:name="_Toc154652314"/>
      <w:r>
        <w:t>1. Genel Beklentiler</w:t>
      </w:r>
      <w:bookmarkEnd w:id="12"/>
    </w:p>
    <w:p w14:paraId="50A0AC33">
      <w:pPr>
        <w:pStyle w:val="3"/>
      </w:pPr>
    </w:p>
    <w:p w14:paraId="00000082">
      <w:pPr>
        <w:widowControl/>
        <w:spacing w:after="20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KİDR yazımında genel beklentiler aşağıda belirtilen şekilde sıralanmaktadır:</w:t>
      </w:r>
    </w:p>
    <w:p w14:paraId="00000083">
      <w:pPr>
        <w:widowControl/>
        <w:numPr>
          <w:ilvl w:val="0"/>
          <w:numId w:val="7"/>
        </w:numPr>
        <w:spacing w:before="240" w:after="240"/>
        <w:jc w:val="both"/>
        <w:rPr>
          <w:rFonts w:ascii="CamberW04-Regular" w:hAnsi="CamberW04-Regular"/>
          <w:sz w:val="24"/>
          <w:szCs w:val="24"/>
        </w:rPr>
      </w:pPr>
      <w:r>
        <w:rPr>
          <w:rFonts w:ascii="CamberW04-Regular" w:hAnsi="CamberW04-Regular" w:eastAsia="Times New Roman" w:cs="Times New Roman"/>
          <w:sz w:val="24"/>
          <w:szCs w:val="24"/>
        </w:rPr>
        <w:t xml:space="preserve">Her yükseköğretim kurumunun yazmış olduğu KİDR’nin sayfa sayısı kurumun yapısına büyüklüğüne ve karmaşıklığına bağlı olarak değişmektedir. KİDR yazımında gerekli bilginin aktarılması sayfa çokluğu ile değil, açık ve anlaşılır kanıtlar ile öz bir şekilde ifade edilmesi beklenmektedir. Bu nedenle, KİDR metni en fazla </w:t>
      </w:r>
      <w:r>
        <w:rPr>
          <w:rFonts w:ascii="CamberW04-Regular" w:hAnsi="CamberW04-Regular" w:eastAsia="Times New Roman" w:cs="Times New Roman"/>
          <w:b/>
          <w:sz w:val="24"/>
          <w:szCs w:val="24"/>
          <w:u w:val="single"/>
        </w:rPr>
        <w:t>80 sayfa</w:t>
      </w:r>
      <w:r>
        <w:rPr>
          <w:rFonts w:ascii="CamberW04-Regular" w:hAnsi="CamberW04-Regular" w:eastAsia="Times New Roman" w:cs="Times New Roman"/>
          <w:sz w:val="24"/>
          <w:szCs w:val="24"/>
        </w:rPr>
        <w:t xml:space="preserve"> olacak şekilde planlanmalıdır.</w:t>
      </w:r>
    </w:p>
    <w:p w14:paraId="7F5DA9CA">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 xml:space="preserve">KİDR yazımında kullanılan metin dili  kısa ve öz olmalıdır. Kurulan cümlelerde  akademik ve nesnel bir anlatım dili kullanılmalıdır. </w:t>
      </w:r>
    </w:p>
    <w:p w14:paraId="00000084">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Verilerin/açıklamaların/kanıtların, ölçüt/alt ölçüt ile uygunluğu kontrol edilerek sade bir anlatım benimsenmelidir.</w:t>
      </w:r>
    </w:p>
    <w:p w14:paraId="00000085">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 xml:space="preserve">KİDR yazım metninde yer alan bilgilerin içerik olarak kurumu yansıtması ve kanıtlanabilirliğine dikkat edilmesi gerekmektedir. </w:t>
      </w:r>
    </w:p>
    <w:p w14:paraId="00000086">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Okuyucuların bilgilere hızlıca ulaşmasına yardımcı olması amacıyla ölçüt/alt ölçüt açıklamalarında, gerekirse raporun ilgili bölümlerine vurgu yapılmalı veya belirli sayfa numaralarına yönlendirme yapılmalıdır.</w:t>
      </w:r>
    </w:p>
    <w:p w14:paraId="00000087">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color w:val="222222"/>
          <w:sz w:val="24"/>
          <w:szCs w:val="24"/>
        </w:rPr>
        <w:t>Belirli zorunlu kısımlar dışında, önceki yılın KİDR’i tekrar edilmemelidir. Gerekirse önceki yıl KİDR’lerine atıfta bulunulmalıdır.</w:t>
      </w:r>
    </w:p>
    <w:p w14:paraId="00000088">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Kanıtlar içinde yer alan metinler, KİDR metninde birebir tekrarlanmamalıdır.</w:t>
      </w:r>
    </w:p>
    <w:p w14:paraId="00000089">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KİDR’de kullanılan kanıtlar, ilgili alt ölçütü desteklemeli ve örtüşmelidir.</w:t>
      </w:r>
    </w:p>
    <w:p w14:paraId="0000008A">
      <w:pPr>
        <w:widowControl/>
        <w:numPr>
          <w:ilvl w:val="0"/>
          <w:numId w:val="7"/>
        </w:numPr>
        <w:spacing w:after="240"/>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KİDR metnine eklenen ya da kanıt olarak kullanılan web sayfası linklerine her dönemde erişim sağlanmalıdır.</w:t>
      </w:r>
    </w:p>
    <w:p w14:paraId="278A9C1A">
      <w:pPr>
        <w:widowControl/>
        <w:numPr>
          <w:ilvl w:val="0"/>
          <w:numId w:val="7"/>
        </w:numPr>
        <w:jc w:val="both"/>
        <w:rPr>
          <w:rFonts w:ascii="CamberW04-Regular" w:hAnsi="CamberW04-Regular" w:eastAsia="Times New Roman" w:cs="Times New Roman"/>
          <w:sz w:val="24"/>
          <w:szCs w:val="24"/>
        </w:rPr>
      </w:pPr>
      <w:r>
        <w:rPr>
          <w:rFonts w:ascii="CamberW04-Regular" w:hAnsi="CamberW04-Regular" w:eastAsia="Times New Roman" w:cs="Times New Roman"/>
          <w:color w:val="222222"/>
          <w:sz w:val="24"/>
          <w:szCs w:val="24"/>
        </w:rPr>
        <w:t>Kurum, önceki yıllarda YÖKAK değerlendirmesinden geçmiş ise, değerlendirme raporları baz alınarak gerçekleştirilen ya da planlanan iyileştirmeler KİDR’de yer almalıdır.</w:t>
      </w:r>
    </w:p>
    <w:p w14:paraId="6BAAAADD">
      <w:pPr>
        <w:widowControl/>
        <w:spacing w:line="360" w:lineRule="auto"/>
        <w:ind w:left="720"/>
        <w:jc w:val="both"/>
        <w:rPr>
          <w:rFonts w:ascii="CamberW04-Regular" w:hAnsi="CamberW04-Regular" w:eastAsia="Times New Roman" w:cs="Times New Roman"/>
          <w:sz w:val="24"/>
          <w:szCs w:val="24"/>
        </w:rPr>
      </w:pPr>
    </w:p>
    <w:p w14:paraId="24A20C13">
      <w:pPr>
        <w:widowControl/>
        <w:spacing w:line="360" w:lineRule="auto"/>
        <w:ind w:left="720"/>
        <w:jc w:val="both"/>
        <w:rPr>
          <w:rFonts w:ascii="CamberW04-Regular" w:hAnsi="CamberW04-Regular" w:eastAsia="Times New Roman" w:cs="Times New Roman"/>
          <w:sz w:val="24"/>
          <w:szCs w:val="24"/>
        </w:rPr>
      </w:pPr>
    </w:p>
    <w:p w14:paraId="31CC4F0D">
      <w:pPr>
        <w:widowControl/>
        <w:spacing w:line="360" w:lineRule="auto"/>
        <w:jc w:val="both"/>
        <w:rPr>
          <w:rFonts w:ascii="CamberW04-Regular" w:hAnsi="CamberW04-Regular" w:eastAsia="Times New Roman" w:cs="Times New Roman"/>
          <w:sz w:val="24"/>
          <w:szCs w:val="24"/>
        </w:rPr>
      </w:pPr>
    </w:p>
    <w:p w14:paraId="0000008D">
      <w:pPr>
        <w:pStyle w:val="3"/>
      </w:pPr>
      <w:bookmarkStart w:id="13" w:name="_Toc154652315"/>
      <w:r>
        <w:rPr>
          <w:szCs w:val="24"/>
        </w:rPr>
        <w:t>2.</w:t>
      </w:r>
      <w:r>
        <w:t xml:space="preserve"> KİDR Yazım Biçimi</w:t>
      </w:r>
      <w:bookmarkEnd w:id="13"/>
    </w:p>
    <w:p w14:paraId="708C998B">
      <w:pPr>
        <w:pStyle w:val="3"/>
        <w:rPr>
          <w:sz w:val="30"/>
          <w:szCs w:val="30"/>
        </w:rPr>
      </w:pPr>
    </w:p>
    <w:p w14:paraId="0000008F">
      <w:pPr>
        <w:widowControl/>
        <w:spacing w:line="360"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KİDR raporlarının hazırlanmasında aşağıdaki yazım kuralları geçerlidir.</w:t>
      </w:r>
    </w:p>
    <w:tbl>
      <w:tblPr>
        <w:tblStyle w:val="105"/>
        <w:tblW w:w="1049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117"/>
        <w:gridCol w:w="8373"/>
      </w:tblGrid>
      <w:tr w14:paraId="61585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87" w:hRule="atLeast"/>
          <w:jc w:val="center"/>
        </w:trPr>
        <w:tc>
          <w:tcPr>
            <w:tcW w:w="2117" w:type="dxa"/>
            <w:shd w:val="clear" w:color="auto" w:fill="8EAADB" w:themeFill="accent1" w:themeFillTint="99"/>
          </w:tcPr>
          <w:p w14:paraId="00000090">
            <w:pPr>
              <w:widowControl/>
              <w:ind w:left="-390" w:firstLine="390"/>
              <w:rPr>
                <w:rFonts w:ascii="CamberW04-Regular" w:hAnsi="CamberW04-Regular" w:eastAsia="Times New Roman" w:cs="Times New Roman"/>
                <w:b/>
                <w:szCs w:val="24"/>
              </w:rPr>
            </w:pPr>
            <w:r>
              <w:rPr>
                <w:rFonts w:ascii="CamberW04-Regular" w:hAnsi="CamberW04-Regular" w:eastAsia="Times New Roman" w:cs="Times New Roman"/>
                <w:b/>
                <w:szCs w:val="24"/>
              </w:rPr>
              <w:t>Raporda Geçen</w:t>
            </w:r>
          </w:p>
        </w:tc>
        <w:tc>
          <w:tcPr>
            <w:tcW w:w="8373" w:type="dxa"/>
            <w:shd w:val="clear" w:color="auto" w:fill="8EAADB" w:themeFill="accent1" w:themeFillTint="99"/>
          </w:tcPr>
          <w:p w14:paraId="00000091">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Format ve Stil Kuralları</w:t>
            </w:r>
          </w:p>
        </w:tc>
      </w:tr>
      <w:tr w14:paraId="14F43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93" w:hRule="atLeast"/>
          <w:jc w:val="center"/>
        </w:trPr>
        <w:tc>
          <w:tcPr>
            <w:tcW w:w="2117" w:type="dxa"/>
          </w:tcPr>
          <w:p w14:paraId="00000092">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Ana Başlıklar ve Ölçüt Başlıkları</w:t>
            </w:r>
          </w:p>
        </w:tc>
        <w:tc>
          <w:tcPr>
            <w:tcW w:w="8373" w:type="dxa"/>
          </w:tcPr>
          <w:p w14:paraId="00000093">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Times New Roman, 14 pt., kalın</w:t>
            </w:r>
          </w:p>
          <w:p w14:paraId="00000094">
            <w:pPr>
              <w:widowControl/>
              <w:jc w:val="both"/>
              <w:rPr>
                <w:rFonts w:ascii="CamberW04-Regular" w:hAnsi="CamberW04-Regular" w:eastAsia="Times New Roman" w:cs="Times New Roman"/>
                <w:b/>
                <w:szCs w:val="24"/>
              </w:rPr>
            </w:pPr>
            <w:r>
              <w:rPr>
                <w:rFonts w:ascii="CamberW04-Regular" w:hAnsi="CamberW04-Regular" w:eastAsia="Times New Roman" w:cs="Times New Roman"/>
                <w:szCs w:val="24"/>
              </w:rPr>
              <w:t>(Sistem tarafından otomatik yapılır.)</w:t>
            </w:r>
          </w:p>
        </w:tc>
      </w:tr>
      <w:tr w14:paraId="77929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44" w:hRule="atLeast"/>
          <w:jc w:val="center"/>
        </w:trPr>
        <w:tc>
          <w:tcPr>
            <w:tcW w:w="2117" w:type="dxa"/>
          </w:tcPr>
          <w:p w14:paraId="7CE8B66C">
            <w:pPr>
              <w:widowControl/>
              <w:jc w:val="both"/>
              <w:rPr>
                <w:rFonts w:ascii="CamberW04-Regular" w:hAnsi="CamberW04-Regular" w:eastAsia="Times New Roman" w:cs="Times New Roman"/>
                <w:b/>
                <w:szCs w:val="24"/>
              </w:rPr>
            </w:pPr>
          </w:p>
          <w:p w14:paraId="00000095">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Alt Ölçüt başlıkları</w:t>
            </w:r>
          </w:p>
          <w:p w14:paraId="00000096">
            <w:pPr>
              <w:widowControl/>
              <w:ind w:left="720"/>
              <w:jc w:val="both"/>
              <w:rPr>
                <w:rFonts w:ascii="CamberW04-Regular" w:hAnsi="CamberW04-Regular" w:eastAsia="Times New Roman" w:cs="Times New Roman"/>
                <w:b/>
                <w:szCs w:val="24"/>
              </w:rPr>
            </w:pPr>
          </w:p>
        </w:tc>
        <w:tc>
          <w:tcPr>
            <w:tcW w:w="8373" w:type="dxa"/>
          </w:tcPr>
          <w:p w14:paraId="00000097">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 xml:space="preserve">Times New Roman, 12 pt., kalın. </w:t>
            </w:r>
          </w:p>
          <w:p w14:paraId="00000098">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(Kılavuz ölçüt numaralandırılmasıyla birlikte kurum tarafından yazılacak: Örneğin  A.2.1. Misyon, vizyon ve politikalar)</w:t>
            </w:r>
          </w:p>
        </w:tc>
      </w:tr>
      <w:tr w14:paraId="4E997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16" w:hRule="atLeast"/>
          <w:jc w:val="center"/>
        </w:trPr>
        <w:tc>
          <w:tcPr>
            <w:tcW w:w="2117" w:type="dxa"/>
          </w:tcPr>
          <w:p w14:paraId="00000099">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           </w:t>
            </w:r>
          </w:p>
          <w:p w14:paraId="0000009A">
            <w:pPr>
              <w:widowControl/>
              <w:jc w:val="both"/>
              <w:rPr>
                <w:rFonts w:ascii="CamberW04-Regular" w:hAnsi="CamberW04-Regular" w:eastAsia="Times New Roman" w:cs="Times New Roman"/>
                <w:b/>
                <w:i/>
                <w:szCs w:val="24"/>
              </w:rPr>
            </w:pPr>
            <w:r>
              <w:rPr>
                <w:rFonts w:ascii="CamberW04-Regular" w:hAnsi="CamberW04-Regular" w:eastAsia="Times New Roman" w:cs="Times New Roman"/>
                <w:b/>
                <w:i/>
                <w:szCs w:val="24"/>
              </w:rPr>
              <w:t>Diğer Başlıklar</w:t>
            </w:r>
          </w:p>
        </w:tc>
        <w:tc>
          <w:tcPr>
            <w:tcW w:w="8373" w:type="dxa"/>
          </w:tcPr>
          <w:p w14:paraId="0000009B">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Metin içinde ihtiyaç duyulduğunda kullanılan alt ölçüt başlığı dışında kalan başlıklar için </w:t>
            </w:r>
            <w:r>
              <w:rPr>
                <w:rFonts w:ascii="CamberW04-Regular" w:hAnsi="CamberW04-Regular" w:eastAsia="Times New Roman" w:cs="Times New Roman"/>
                <w:b/>
                <w:i/>
                <w:szCs w:val="24"/>
              </w:rPr>
              <w:t xml:space="preserve">italik, kalın, 12 punto </w:t>
            </w:r>
            <w:r>
              <w:rPr>
                <w:rFonts w:ascii="CamberW04-Regular" w:hAnsi="CamberW04-Regular" w:eastAsia="Times New Roman" w:cs="Times New Roman"/>
                <w:szCs w:val="24"/>
              </w:rPr>
              <w:t xml:space="preserve">yazı stili kullanınız. Bu başlıklarda numaralandırma </w:t>
            </w:r>
            <w:r>
              <w:rPr>
                <w:rFonts w:ascii="CamberW04-Regular" w:hAnsi="CamberW04-Regular" w:eastAsia="Times New Roman" w:cs="Times New Roman"/>
                <w:szCs w:val="24"/>
                <w:u w:val="single"/>
              </w:rPr>
              <w:t>kullanmayınız</w:t>
            </w:r>
            <w:r>
              <w:rPr>
                <w:rFonts w:ascii="CamberW04-Regular" w:hAnsi="CamberW04-Regular" w:eastAsia="Times New Roman" w:cs="Times New Roman"/>
                <w:szCs w:val="24"/>
              </w:rPr>
              <w:t>.</w:t>
            </w:r>
          </w:p>
        </w:tc>
      </w:tr>
      <w:tr w14:paraId="70C3A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36" w:hRule="atLeast"/>
          <w:jc w:val="center"/>
        </w:trPr>
        <w:tc>
          <w:tcPr>
            <w:tcW w:w="2117" w:type="dxa"/>
          </w:tcPr>
          <w:p w14:paraId="0000009C">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Gövde Metni </w:t>
            </w:r>
          </w:p>
        </w:tc>
        <w:tc>
          <w:tcPr>
            <w:tcW w:w="8373" w:type="dxa"/>
          </w:tcPr>
          <w:p w14:paraId="0000009D">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Times New Roman, 12 punto, tek satır aralığı, iki yana yaslı </w:t>
            </w:r>
          </w:p>
        </w:tc>
      </w:tr>
      <w:tr w14:paraId="1C262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2117" w:type="dxa"/>
          </w:tcPr>
          <w:p w14:paraId="72C21B97">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Başlık-Satır arası/   </w:t>
            </w:r>
          </w:p>
          <w:p w14:paraId="0000009E">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paragraflar arası</w:t>
            </w:r>
          </w:p>
        </w:tc>
        <w:tc>
          <w:tcPr>
            <w:tcW w:w="8373" w:type="dxa"/>
          </w:tcPr>
          <w:p w14:paraId="0000009F">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1,5 satır aralığı kullanınız.</w:t>
            </w:r>
          </w:p>
        </w:tc>
      </w:tr>
      <w:tr w14:paraId="7FA78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70" w:hRule="atLeast"/>
          <w:jc w:val="center"/>
        </w:trPr>
        <w:tc>
          <w:tcPr>
            <w:tcW w:w="2117" w:type="dxa"/>
          </w:tcPr>
          <w:p w14:paraId="000000A0">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Sayfa numaraları</w:t>
            </w:r>
          </w:p>
        </w:tc>
        <w:tc>
          <w:tcPr>
            <w:tcW w:w="8373" w:type="dxa"/>
          </w:tcPr>
          <w:p w14:paraId="000000A1">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Alt bilgi kısmında ortaya gelecek şekilde yazılır. </w:t>
            </w:r>
          </w:p>
          <w:p w14:paraId="000000A2">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(Sistem tarafından otomatik yapılır.)</w:t>
            </w:r>
          </w:p>
        </w:tc>
      </w:tr>
      <w:tr w14:paraId="57F70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37" w:hRule="atLeast"/>
          <w:jc w:val="center"/>
        </w:trPr>
        <w:tc>
          <w:tcPr>
            <w:tcW w:w="2117" w:type="dxa"/>
          </w:tcPr>
          <w:p w14:paraId="000000A3">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Kenar Boşlukları</w:t>
            </w:r>
          </w:p>
        </w:tc>
        <w:tc>
          <w:tcPr>
            <w:tcW w:w="8373" w:type="dxa"/>
          </w:tcPr>
          <w:p w14:paraId="000000A4">
            <w:pPr>
              <w:widowControl/>
              <w:jc w:val="both"/>
              <w:rPr>
                <w:rFonts w:ascii="CamberW04-Regular" w:hAnsi="CamberW04-Regular" w:eastAsia="Times New Roman" w:cs="Times New Roman"/>
                <w:color w:val="202124"/>
                <w:szCs w:val="24"/>
              </w:rPr>
            </w:pPr>
            <w:r>
              <w:rPr>
                <w:rFonts w:ascii="CamberW04-Regular" w:hAnsi="CamberW04-Regular" w:eastAsia="Times New Roman" w:cs="Times New Roman"/>
                <w:color w:val="202124"/>
                <w:szCs w:val="24"/>
              </w:rPr>
              <w:t xml:space="preserve">Sayfada sağdan, soldan, alttan ve üstten 2,5 cm aralık olmalıdır. </w:t>
            </w:r>
          </w:p>
          <w:p w14:paraId="000000A5">
            <w:pPr>
              <w:widowControl/>
              <w:jc w:val="both"/>
              <w:rPr>
                <w:rFonts w:ascii="CamberW04-Regular" w:hAnsi="CamberW04-Regular" w:eastAsia="Times New Roman" w:cs="Times New Roman"/>
                <w:color w:val="202124"/>
                <w:szCs w:val="24"/>
              </w:rPr>
            </w:pPr>
            <w:r>
              <w:rPr>
                <w:rFonts w:ascii="CamberW04-Regular" w:hAnsi="CamberW04-Regular" w:eastAsia="Times New Roman" w:cs="Times New Roman"/>
                <w:szCs w:val="24"/>
              </w:rPr>
              <w:t>(Sistem tarafından otomatik yapılır.)</w:t>
            </w:r>
          </w:p>
        </w:tc>
      </w:tr>
      <w:tr w14:paraId="3A5CB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905" w:hRule="atLeast"/>
          <w:jc w:val="center"/>
        </w:trPr>
        <w:tc>
          <w:tcPr>
            <w:tcW w:w="2117" w:type="dxa"/>
          </w:tcPr>
          <w:p w14:paraId="74F77128">
            <w:pPr>
              <w:widowControl/>
              <w:jc w:val="both"/>
              <w:rPr>
                <w:rFonts w:ascii="CamberW04-Regular" w:hAnsi="CamberW04-Regular" w:eastAsia="Times New Roman" w:cs="Times New Roman"/>
                <w:szCs w:val="24"/>
              </w:rPr>
            </w:pPr>
          </w:p>
          <w:p w14:paraId="0BEADF68">
            <w:pPr>
              <w:widowControl/>
              <w:jc w:val="both"/>
              <w:rPr>
                <w:rFonts w:ascii="CamberW04-Regular" w:hAnsi="CamberW04-Regular" w:eastAsia="Times New Roman" w:cs="Times New Roman"/>
                <w:szCs w:val="24"/>
              </w:rPr>
            </w:pPr>
          </w:p>
          <w:p w14:paraId="48764636">
            <w:pPr>
              <w:widowControl/>
              <w:jc w:val="both"/>
              <w:rPr>
                <w:rFonts w:ascii="CamberW04-Regular" w:hAnsi="CamberW04-Regular" w:eastAsia="Times New Roman" w:cs="Times New Roman"/>
                <w:szCs w:val="24"/>
              </w:rPr>
            </w:pPr>
          </w:p>
          <w:p w14:paraId="7E6F78A5">
            <w:pPr>
              <w:widowControl/>
              <w:jc w:val="both"/>
              <w:rPr>
                <w:rFonts w:ascii="CamberW04-Regular" w:hAnsi="CamberW04-Regular" w:eastAsia="Times New Roman" w:cs="Times New Roman"/>
                <w:szCs w:val="24"/>
              </w:rPr>
            </w:pPr>
          </w:p>
          <w:p w14:paraId="2BD357EE">
            <w:pPr>
              <w:widowControl/>
              <w:jc w:val="both"/>
              <w:rPr>
                <w:rFonts w:ascii="CamberW04-Regular" w:hAnsi="CamberW04-Regular" w:eastAsia="Times New Roman" w:cs="Times New Roman"/>
                <w:szCs w:val="24"/>
              </w:rPr>
            </w:pPr>
          </w:p>
          <w:p w14:paraId="05922025">
            <w:pPr>
              <w:widowControl/>
              <w:jc w:val="both"/>
              <w:rPr>
                <w:rFonts w:ascii="CamberW04-Regular" w:hAnsi="CamberW04-Regular" w:eastAsia="Times New Roman" w:cs="Times New Roman"/>
                <w:szCs w:val="24"/>
              </w:rPr>
            </w:pPr>
          </w:p>
          <w:p w14:paraId="4648DB96">
            <w:pPr>
              <w:widowControl/>
              <w:jc w:val="both"/>
              <w:rPr>
                <w:rFonts w:ascii="CamberW04-Regular" w:hAnsi="CamberW04-Regular" w:eastAsia="Times New Roman" w:cs="Times New Roman"/>
                <w:szCs w:val="24"/>
              </w:rPr>
            </w:pPr>
          </w:p>
          <w:p w14:paraId="4ADAC736">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Kanıt Başlıklarının</w:t>
            </w:r>
          </w:p>
          <w:p w14:paraId="17BBE10B">
            <w:pPr>
              <w:widowControl/>
              <w:jc w:val="both"/>
              <w:rPr>
                <w:rFonts w:ascii="CamberW04-Regular" w:hAnsi="CamberW04-Regular" w:eastAsia="Times New Roman" w:cs="Times New Roman"/>
                <w:szCs w:val="24"/>
              </w:rPr>
            </w:pPr>
            <w:r>
              <w:rPr>
                <w:rFonts w:ascii="CamberW04-Regular" w:hAnsi="CamberW04-Regular" w:eastAsia="Times New Roman" w:cs="Times New Roman"/>
                <w:szCs w:val="24"/>
              </w:rPr>
              <w:t>Yazımı</w:t>
            </w:r>
          </w:p>
          <w:p w14:paraId="000000A6">
            <w:pPr>
              <w:widowControl/>
              <w:jc w:val="both"/>
              <w:rPr>
                <w:rFonts w:ascii="CamberW04-Regular" w:hAnsi="CamberW04-Regular" w:eastAsia="Times New Roman" w:cs="Times New Roman"/>
                <w:szCs w:val="24"/>
              </w:rPr>
            </w:pPr>
          </w:p>
        </w:tc>
        <w:tc>
          <w:tcPr>
            <w:tcW w:w="8373" w:type="dxa"/>
          </w:tcPr>
          <w:p w14:paraId="000000A7">
            <w:pPr>
              <w:widowControl/>
              <w:numPr>
                <w:ilvl w:val="0"/>
                <w:numId w:val="8"/>
              </w:numPr>
              <w:jc w:val="both"/>
              <w:rPr>
                <w:rFonts w:ascii="CamberW04-Regular" w:hAnsi="CamberW04-Regular" w:eastAsia="Times New Roman" w:cs="Times New Roman"/>
                <w:szCs w:val="24"/>
              </w:rPr>
            </w:pPr>
            <w:r>
              <w:rPr>
                <w:rFonts w:ascii="CamberW04-Regular" w:hAnsi="CamberW04-Regular" w:eastAsia="Times New Roman" w:cs="Times New Roman"/>
                <w:szCs w:val="24"/>
              </w:rPr>
              <w:t>Kanıt başlıkları için en fazla 65 karakter kullanınız.</w:t>
            </w:r>
          </w:p>
          <w:p w14:paraId="269DC85D">
            <w:pPr>
              <w:widowControl/>
              <w:numPr>
                <w:ilvl w:val="0"/>
                <w:numId w:val="8"/>
              </w:numPr>
              <w:jc w:val="both"/>
              <w:rPr>
                <w:rFonts w:ascii="CamberW04-Regular" w:hAnsi="CamberW04-Regular" w:eastAsia="Times New Roman" w:cs="Times New Roman"/>
                <w:szCs w:val="24"/>
              </w:rPr>
            </w:pPr>
            <w:r>
              <w:rPr>
                <w:rFonts w:ascii="CamberW04-Regular" w:hAnsi="CamberW04-Regular" w:eastAsia="Times New Roman" w:cs="Times New Roman"/>
                <w:szCs w:val="24"/>
              </w:rPr>
              <w:t xml:space="preserve">Kanıt dosya adı yazımında boşluk </w:t>
            </w:r>
            <w:r>
              <w:rPr>
                <w:rFonts w:ascii="CamberW04-Regular" w:hAnsi="CamberW04-Regular" w:eastAsia="Times New Roman" w:cs="Times New Roman"/>
                <w:szCs w:val="24"/>
                <w:u w:val="single"/>
              </w:rPr>
              <w:t>kullanmayınız</w:t>
            </w:r>
            <w:r>
              <w:rPr>
                <w:rFonts w:ascii="CamberW04-Regular" w:hAnsi="CamberW04-Regular" w:eastAsia="Times New Roman" w:cs="Times New Roman"/>
                <w:szCs w:val="24"/>
              </w:rPr>
              <w:t>. Bunun yerine alt çizgi kullanınız.</w:t>
            </w:r>
          </w:p>
          <w:p w14:paraId="4B83F0A7">
            <w:pPr>
              <w:widowControl/>
              <w:numPr>
                <w:ilvl w:val="0"/>
                <w:numId w:val="8"/>
              </w:numPr>
              <w:jc w:val="both"/>
              <w:rPr>
                <w:rFonts w:ascii="CamberW04-Regular" w:hAnsi="CamberW04-Regular" w:eastAsia="Times New Roman" w:cs="Times New Roman"/>
                <w:szCs w:val="24"/>
              </w:rPr>
            </w:pPr>
            <w:r>
              <w:rPr>
                <w:rFonts w:ascii="CamberW04-Regular" w:hAnsi="CamberW04-Regular" w:eastAsia="Times New Roman" w:cs="Times New Roman"/>
                <w:szCs w:val="24"/>
              </w:rPr>
              <w:t>Türkçe karakter kullanmayınız.</w:t>
            </w:r>
          </w:p>
          <w:p w14:paraId="33D3C161">
            <w:pPr>
              <w:widowControl/>
              <w:numPr>
                <w:ilvl w:val="0"/>
                <w:numId w:val="8"/>
              </w:numPr>
              <w:jc w:val="both"/>
              <w:rPr>
                <w:rFonts w:ascii="CamberW04-Regular" w:hAnsi="CamberW04-Regular" w:eastAsia="Times New Roman" w:cs="Times New Roman"/>
                <w:b/>
                <w:szCs w:val="24"/>
              </w:rPr>
            </w:pPr>
            <w:r>
              <w:rPr>
                <w:rFonts w:ascii="CamberW04-Regular" w:hAnsi="CamberW04-Regular" w:eastAsia="Times New Roman" w:cs="Times New Roman"/>
                <w:szCs w:val="24"/>
              </w:rPr>
              <w:t>Metin içerisinde yalnızca ilgili cümle/paragrafın bitiminde sıra numarası ve ilgili olgunluk düzeyini belirtiniz.</w:t>
            </w:r>
          </w:p>
          <w:p w14:paraId="3E192EB9">
            <w:pPr>
              <w:widowControl/>
              <w:ind w:left="430"/>
              <w:jc w:val="both"/>
              <w:rPr>
                <w:rFonts w:ascii="CamberW04-Regular" w:hAnsi="CamberW04-Regular" w:eastAsia="Times New Roman" w:cs="Times New Roman"/>
                <w:b/>
                <w:szCs w:val="24"/>
              </w:rPr>
            </w:pPr>
          </w:p>
          <w:p w14:paraId="00111B9C">
            <w:pPr>
              <w:widowControl/>
              <w:jc w:val="both"/>
              <w:rPr>
                <w:rFonts w:ascii="CamberW04-Regular" w:hAnsi="CamberW04-Regular" w:eastAsia="Times New Roman" w:cs="Times New Roman"/>
                <w:b/>
                <w:szCs w:val="24"/>
              </w:rPr>
            </w:pPr>
            <w:r>
              <w:rPr>
                <w:rFonts w:ascii="CamberW04-Regular" w:hAnsi="CamberW04-Regular" w:eastAsia="Times New Roman" w:cs="Times New Roman"/>
                <w:b/>
                <w:szCs w:val="24"/>
              </w:rPr>
              <w:t>Örnek;</w:t>
            </w:r>
          </w:p>
          <w:p w14:paraId="2698E2B8">
            <w:pPr>
              <w:widowControl/>
              <w:jc w:val="both"/>
              <w:rPr>
                <w:rFonts w:ascii="CamberW04-Regular" w:hAnsi="CamberW04-Regular" w:eastAsia="Times New Roman" w:cs="Times New Roman"/>
                <w:b/>
                <w:szCs w:val="24"/>
              </w:rPr>
            </w:pPr>
          </w:p>
          <w:p w14:paraId="4A58FDD5">
            <w:pPr>
              <w:widowControl/>
              <w:ind w:left="49" w:right="331"/>
              <w:jc w:val="both"/>
              <w:rPr>
                <w:rFonts w:ascii="CamberW04-Regular" w:hAnsi="CamberW04-Regular" w:eastAsia="Times New Roman" w:cs="Times New Roman"/>
                <w:bCs/>
                <w:szCs w:val="24"/>
              </w:rPr>
            </w:pPr>
            <w:r>
              <w:rPr>
                <w:rFonts w:ascii="CamberW04-Regular" w:hAnsi="CamberW04-Regular" w:eastAsia="Times New Roman" w:cs="Times New Roman"/>
                <w:bCs/>
                <w:szCs w:val="24"/>
              </w:rPr>
              <w:t xml:space="preserve">Üniversitemizde, alan farklılıklarına göre yeterliliklerin çeşitli eğitim türlerine göre kazandırılabileceğine yönelik ilke ve kurallar belirlenmiştir </w:t>
            </w:r>
            <w:r>
              <w:rPr>
                <w:rFonts w:ascii="CamberW04-Regular" w:hAnsi="CamberW04-Regular" w:eastAsia="Times New Roman" w:cs="Times New Roman"/>
                <w:b/>
                <w:szCs w:val="24"/>
              </w:rPr>
              <w:t>[1_OD2]</w:t>
            </w:r>
            <w:r>
              <w:rPr>
                <w:rFonts w:ascii="CamberW04-Regular" w:hAnsi="CamberW04-Regular" w:eastAsia="Times New Roman" w:cs="Times New Roman"/>
                <w:bCs/>
                <w:szCs w:val="24"/>
              </w:rPr>
              <w:t xml:space="preserve">. Programların tasarımı ve onayına ilişkin tanımlı süreçler doğrultusunda uygulamalar gerçekleştirilmektedir </w:t>
            </w:r>
            <w:r>
              <w:rPr>
                <w:rFonts w:ascii="CamberW04-Regular" w:hAnsi="CamberW04-Regular" w:eastAsia="Times New Roman" w:cs="Times New Roman"/>
                <w:b/>
                <w:szCs w:val="24"/>
              </w:rPr>
              <w:t>[2_OD3]</w:t>
            </w:r>
            <w:r>
              <w:rPr>
                <w:rFonts w:ascii="CamberW04-Regular" w:hAnsi="CamberW04-Regular" w:eastAsia="Times New Roman" w:cs="Times New Roman"/>
                <w:bCs/>
                <w:szCs w:val="24"/>
              </w:rPr>
              <w:t xml:space="preserve">. Bu uygulamalardan bazı sonuçlar elde edilmekte olup bu sonuçların paydaşlarla birlikte izlenmesi sistematik olarak yapılmaktadır </w:t>
            </w:r>
            <w:r>
              <w:rPr>
                <w:rFonts w:ascii="CamberW04-Regular" w:hAnsi="CamberW04-Regular" w:eastAsia="Times New Roman" w:cs="Times New Roman"/>
                <w:b/>
                <w:szCs w:val="24"/>
              </w:rPr>
              <w:t>[3_OD4][4_OD4]</w:t>
            </w:r>
            <w:r>
              <w:rPr>
                <w:rFonts w:ascii="CamberW04-Regular" w:hAnsi="CamberW04-Regular" w:eastAsia="Times New Roman" w:cs="Times New Roman"/>
                <w:bCs/>
                <w:szCs w:val="24"/>
              </w:rPr>
              <w:t xml:space="preserve">. </w:t>
            </w:r>
          </w:p>
          <w:p w14:paraId="33D362E5">
            <w:pPr>
              <w:widowControl/>
              <w:ind w:left="49"/>
              <w:jc w:val="both"/>
              <w:rPr>
                <w:rFonts w:ascii="CamberW04-Regular" w:hAnsi="CamberW04-Regular" w:eastAsia="Times New Roman" w:cs="Times New Roman"/>
                <w:bCs/>
                <w:szCs w:val="24"/>
              </w:rPr>
            </w:pPr>
          </w:p>
          <w:p w14:paraId="5982A790">
            <w:pPr>
              <w:pStyle w:val="41"/>
              <w:widowControl/>
              <w:numPr>
                <w:ilvl w:val="0"/>
                <w:numId w:val="8"/>
              </w:numPr>
              <w:ind w:right="331"/>
              <w:jc w:val="both"/>
              <w:rPr>
                <w:rFonts w:ascii="CamberW04-Regular" w:hAnsi="CamberW04-Regular" w:eastAsia="Times New Roman" w:cs="Times New Roman"/>
                <w:color w:val="000000" w:themeColor="text1"/>
                <w14:textFill>
                  <w14:solidFill>
                    <w14:schemeClr w14:val="tx1"/>
                  </w14:solidFill>
                </w14:textFill>
              </w:rPr>
            </w:pPr>
            <w:r>
              <w:rPr>
                <w:rFonts w:ascii="CamberW04-Regular" w:hAnsi="CamberW04-Regular" w:eastAsia="Times New Roman" w:cs="Times New Roman"/>
                <w:color w:val="000000" w:themeColor="text1"/>
                <w14:textFill>
                  <w14:solidFill>
                    <w14:schemeClr w14:val="tx1"/>
                  </w14:solidFill>
                </w14:textFill>
              </w:rPr>
              <w:t>Metin içi link verme/köprüleme gösterimlerinde, kanıtın ait olduğu olgunluk düzeyi yazılmalıdır.  Verilen link/köprüleme kanıtlarının, kanıtlar bölümüne tekrar eklenmesine gerek yoktur.</w:t>
            </w:r>
          </w:p>
          <w:p w14:paraId="63CA25FE">
            <w:pPr>
              <w:pStyle w:val="41"/>
              <w:widowControl/>
              <w:ind w:left="720" w:right="331"/>
              <w:jc w:val="both"/>
              <w:rPr>
                <w:rFonts w:ascii="CamberW04-Regular" w:hAnsi="CamberW04-Regular" w:eastAsia="Times New Roman" w:cs="Times New Roman"/>
                <w:color w:val="000000" w:themeColor="text1"/>
                <w14:textFill>
                  <w14:solidFill>
                    <w14:schemeClr w14:val="tx1"/>
                  </w14:solidFill>
                </w14:textFill>
              </w:rPr>
            </w:pPr>
          </w:p>
          <w:p w14:paraId="7BE07C6B">
            <w:pPr>
              <w:widowControl/>
              <w:ind w:right="331"/>
              <w:jc w:val="both"/>
              <w:rPr>
                <w:rFonts w:ascii="CamberW04-Regular" w:hAnsi="CamberW04-Regular" w:eastAsia="Times New Roman" w:cs="Times New Roman"/>
                <w:b/>
                <w:bCs/>
                <w:color w:val="000000" w:themeColor="text1"/>
                <w14:textFill>
                  <w14:solidFill>
                    <w14:schemeClr w14:val="tx1"/>
                  </w14:solidFill>
                </w14:textFill>
              </w:rPr>
            </w:pPr>
            <w:r>
              <w:rPr>
                <w:rFonts w:ascii="CamberW04-Regular" w:hAnsi="CamberW04-Regular" w:eastAsia="Times New Roman" w:cs="Times New Roman"/>
                <w:b/>
                <w:bCs/>
                <w:color w:val="000000" w:themeColor="text1"/>
                <w14:textFill>
                  <w14:solidFill>
                    <w14:schemeClr w14:val="tx1"/>
                  </w14:solidFill>
                </w14:textFill>
              </w:rPr>
              <w:t xml:space="preserve">Örnek: </w:t>
            </w:r>
          </w:p>
          <w:p w14:paraId="000000AB">
            <w:pPr>
              <w:widowControl/>
              <w:ind w:left="49" w:right="331"/>
              <w:jc w:val="both"/>
              <w:rPr>
                <w:rFonts w:ascii="CamberW04-Regular" w:hAnsi="CamberW04-Regular" w:eastAsia="Times New Roman" w:cs="Times New Roman"/>
                <w:bCs/>
                <w:szCs w:val="24"/>
              </w:rPr>
            </w:pPr>
            <w:r>
              <w:rPr>
                <w:rFonts w:ascii="CamberW04-Regular" w:hAnsi="CamberW04-Regular" w:eastAsia="Times New Roman" w:cs="Times New Roman"/>
                <w:bCs/>
                <w:szCs w:val="24"/>
              </w:rPr>
              <w:t xml:space="preserve">Üniversitemizde, alan farklılıklarına göre yeterliliklerin çeşitli eğitim türlerine göre kazandırılabileceğine yönelik ilke ve kurallar belirlenmiştir </w:t>
            </w:r>
            <w:r>
              <w:rPr>
                <w:rFonts w:ascii="CamberW04-Regular" w:hAnsi="CamberW04-Regular" w:eastAsia="Times New Roman" w:cs="Times New Roman"/>
                <w:b/>
                <w:color w:val="0070C0"/>
                <w:szCs w:val="24"/>
              </w:rPr>
              <w:t>(OD2)</w:t>
            </w:r>
            <w:r>
              <w:rPr>
                <w:rFonts w:ascii="CamberW04-Regular" w:hAnsi="CamberW04-Regular" w:eastAsia="Times New Roman" w:cs="Times New Roman"/>
                <w:bCs/>
                <w:szCs w:val="24"/>
              </w:rPr>
              <w:t xml:space="preserve">. Programların tasarımı ve onayına ilişkin tanımlı süreçler doğrultusunda uygulamalar gerçekleştirilmektedir </w:t>
            </w:r>
            <w:r>
              <w:rPr>
                <w:rFonts w:ascii="CamberW04-Regular" w:hAnsi="CamberW04-Regular" w:eastAsia="Times New Roman" w:cs="Times New Roman"/>
                <w:b/>
                <w:color w:val="0070C0"/>
                <w:szCs w:val="24"/>
              </w:rPr>
              <w:t>(OD3)</w:t>
            </w:r>
            <w:r>
              <w:rPr>
                <w:rFonts w:ascii="CamberW04-Regular" w:hAnsi="CamberW04-Regular" w:eastAsia="Times New Roman" w:cs="Times New Roman"/>
                <w:bCs/>
                <w:szCs w:val="24"/>
              </w:rPr>
              <w:t>.</w:t>
            </w:r>
          </w:p>
        </w:tc>
      </w:tr>
    </w:tbl>
    <w:p w14:paraId="3405D1AA">
      <w:pPr>
        <w:pStyle w:val="3"/>
      </w:pPr>
      <w:bookmarkStart w:id="14" w:name="_Toc154652316"/>
    </w:p>
    <w:p w14:paraId="000000AE">
      <w:pPr>
        <w:pStyle w:val="3"/>
      </w:pPr>
      <w:r>
        <w:t>3. Kanıt Kullanımı</w:t>
      </w:r>
      <w:bookmarkEnd w:id="14"/>
    </w:p>
    <w:p w14:paraId="4DA4B0D0">
      <w:pPr>
        <w:pStyle w:val="3"/>
      </w:pPr>
    </w:p>
    <w:p w14:paraId="000000AF">
      <w:pPr>
        <w:widowControl/>
        <w:spacing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Kanıt kullanırken dikkat edilecek en önemli husus, yukarıda da belirtildiği gibi, kanıtın alt ölçüt için yazılan metindeki ifadeleri doğrudan destekleyici olmasıdır. Bu amaçla, kuruma ait mevzuat, doküman, web sayfası, rapor, vb. kanıt olarak kullanılabilir. Ancak, bunların kullanımında aşağıdaki hususlar göz önünde bulundurulmalıdır:</w:t>
      </w:r>
    </w:p>
    <w:p w14:paraId="000000B0">
      <w:pPr>
        <w:widowControl/>
        <w:spacing w:line="276" w:lineRule="auto"/>
        <w:jc w:val="both"/>
        <w:rPr>
          <w:rFonts w:ascii="CamberW04-Regular" w:hAnsi="CamberW04-Regular" w:eastAsia="Times New Roman" w:cs="Times New Roman"/>
          <w:sz w:val="24"/>
          <w:szCs w:val="24"/>
        </w:rPr>
      </w:pPr>
    </w:p>
    <w:p w14:paraId="000000B2">
      <w:pPr>
        <w:widowControl/>
        <w:numPr>
          <w:ilvl w:val="0"/>
          <w:numId w:val="9"/>
        </w:numPr>
        <w:spacing w:after="240" w:line="360"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 xml:space="preserve">Kanıt başlıkları bu kılavuzun yazım stili sayfasında yer alan şekilde olmalıdır. </w:t>
      </w:r>
    </w:p>
    <w:p w14:paraId="4178223C">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Kanıt olarak eklenen rapor/doküman vb.nin alt ölçütle ilişkili sayfalarına atıfta bulunulmalıdır.</w:t>
      </w:r>
    </w:p>
    <w:p w14:paraId="000000B6">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Kanıtlarda kullanılan görsel dosyaların (jpeg, png, vb.) kullanımından kaçınılmalı ve mümkünse görselin bulunduğu web sayfasının bağlantısı paylaşılmalıdır.</w:t>
      </w:r>
    </w:p>
    <w:p w14:paraId="000000B8">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Kanıtlar olarak yüklenen ve içinde yalnızca linklerin bulunduğu word/PDF dosyaları yerine, bu linkler ilgili metin içerisine yerleştirilmelidir.</w:t>
      </w:r>
    </w:p>
    <w:p w14:paraId="000000BA">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KVKK’ya aykırı olan kanıtlar kullanılmamalıdır (öğrenci/personel vb. kişisel bilgilerini içeren)</w:t>
      </w:r>
    </w:p>
    <w:p w14:paraId="000000BC">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 xml:space="preserve">Kurumun ticari sır ya da iş sırrı niteliği taşıyan hassas veri ve belgeler paylaşılmamalıdır. </w:t>
      </w:r>
    </w:p>
    <w:p w14:paraId="25EAE11A">
      <w:pPr>
        <w:widowControl/>
        <w:numPr>
          <w:ilvl w:val="0"/>
          <w:numId w:val="9"/>
        </w:numPr>
        <w:spacing w:after="240" w:line="276" w:lineRule="auto"/>
        <w:jc w:val="both"/>
        <w:rPr>
          <w:rFonts w:ascii="CamberW04-Regular" w:hAnsi="CamberW04-Regular" w:eastAsia="Times New Roman" w:cs="Times New Roman"/>
          <w:sz w:val="24"/>
          <w:szCs w:val="24"/>
        </w:rPr>
      </w:pPr>
      <w:r>
        <w:rPr>
          <w:rFonts w:ascii="CamberW04-Regular" w:hAnsi="CamberW04-Regular" w:eastAsia="Times New Roman" w:cs="Times New Roman"/>
          <w:sz w:val="24"/>
          <w:szCs w:val="24"/>
        </w:rPr>
        <w:t>Toplantı tutanaklarında imza sirküleri yerine, alınan kararları içeren kanıtlar (iyileştirmelerin yansıtıldığı kararlar)  kullanılmalıdır.</w:t>
      </w:r>
    </w:p>
    <w:p w14:paraId="0D49A437">
      <w:pPr>
        <w:widowControl/>
        <w:spacing w:after="240" w:line="276" w:lineRule="auto"/>
        <w:jc w:val="both"/>
        <w:rPr>
          <w:rFonts w:ascii="CamberW04-Regular" w:hAnsi="CamberW04-Regular" w:eastAsia="Times New Roman" w:cs="Times New Roman"/>
          <w:sz w:val="24"/>
          <w:szCs w:val="24"/>
        </w:rPr>
      </w:pPr>
    </w:p>
    <w:p w14:paraId="366B6AEB">
      <w:pPr>
        <w:widowControl/>
        <w:spacing w:after="240" w:line="276" w:lineRule="auto"/>
        <w:jc w:val="both"/>
        <w:rPr>
          <w:rFonts w:ascii="CamberW04-Regular" w:hAnsi="CamberW04-Regular" w:eastAsia="Times New Roman" w:cs="Times New Roman"/>
          <w:sz w:val="24"/>
          <w:szCs w:val="24"/>
        </w:rPr>
      </w:pPr>
    </w:p>
    <w:p w14:paraId="09D4F423">
      <w:pPr>
        <w:widowControl/>
        <w:spacing w:after="240" w:line="276" w:lineRule="auto"/>
        <w:jc w:val="both"/>
        <w:rPr>
          <w:rFonts w:ascii="CamberW04-Regular" w:hAnsi="CamberW04-Regular" w:eastAsia="Times New Roman" w:cs="Times New Roman"/>
          <w:sz w:val="24"/>
          <w:szCs w:val="24"/>
        </w:rPr>
      </w:pPr>
    </w:p>
    <w:p w14:paraId="69D3EEF8">
      <w:pPr>
        <w:widowControl/>
        <w:spacing w:line="276" w:lineRule="auto"/>
        <w:jc w:val="both"/>
        <w:rPr>
          <w:rFonts w:ascii="CamberW04-Regular" w:hAnsi="CamberW04-Regular" w:eastAsia="Times New Roman" w:cs="Times New Roman"/>
          <w:color w:val="000000" w:themeColor="text1"/>
          <w:sz w:val="26"/>
          <w:szCs w:val="28"/>
          <w14:textFill>
            <w14:solidFill>
              <w14:schemeClr w14:val="tx1"/>
            </w14:solidFill>
          </w14:textFill>
        </w:rPr>
      </w:pPr>
    </w:p>
    <w:p w14:paraId="2C862978">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7D323A03">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176AC7AF">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6FFCBE13">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0E39492B">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4CFB95A">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3131BC0">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6E085D09">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64620A33">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5665924B">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182625A5">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5D31BDBB">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555B9114">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9728831">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66F1D9BD">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6B3CC903">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4B5146DF">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F11F905">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202AD491">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18840BA">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76FFA2A1">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7620866">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004A613C">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2C646F10">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3001493">
      <w:pPr>
        <w:widowControl/>
        <w:spacing w:line="276" w:lineRule="auto"/>
        <w:jc w:val="both"/>
        <w:rPr>
          <w:rFonts w:ascii="CamberW04-Regular" w:hAnsi="CamberW04-Regular" w:eastAsia="Times New Roman" w:cs="Times New Roman"/>
          <w:color w:val="000000" w:themeColor="text1"/>
          <w:sz w:val="24"/>
          <w:szCs w:val="24"/>
          <w14:textFill>
            <w14:solidFill>
              <w14:schemeClr w14:val="tx1"/>
            </w14:solidFill>
          </w14:textFill>
        </w:rPr>
      </w:pPr>
    </w:p>
    <w:p w14:paraId="39F6A2E6">
      <w:pPr>
        <w:pStyle w:val="2"/>
        <w:rPr>
          <w:rFonts w:eastAsia="CamberW04-Regular"/>
        </w:rPr>
      </w:pPr>
      <w:bookmarkStart w:id="15" w:name="_Toc154652317"/>
      <w:r>
        <w:rPr>
          <w:rFonts w:eastAsia="CamberW04-Regular"/>
        </w:rPr>
        <w:t>SÜRÜM NOTLARI</w:t>
      </w:r>
      <w:bookmarkEnd w:id="15"/>
      <w:r>
        <w:rPr>
          <w:rFonts w:eastAsia="CamberW04-Regular"/>
        </w:rPr>
        <w:t xml:space="preserve"> </w:t>
      </w:r>
    </w:p>
    <w:p w14:paraId="45D42B8B">
      <w:pPr>
        <w:pStyle w:val="2"/>
        <w:rPr>
          <w:rFonts w:eastAsia="CamberW04-Regular"/>
          <w:sz w:val="36"/>
        </w:rPr>
      </w:pPr>
    </w:p>
    <w:p w14:paraId="7797531A">
      <w:pPr>
        <w:widowControl/>
        <w:spacing w:after="160" w:line="259" w:lineRule="auto"/>
        <w:jc w:val="center"/>
        <w:rPr>
          <w:rFonts w:ascii="CamberW04-Regular" w:hAnsi="CamberW04-Regular" w:eastAsia="CamberW04-Regular" w:cs="CamberW04-Regular"/>
          <w:b/>
          <w:sz w:val="28"/>
        </w:rPr>
      </w:pPr>
      <w:r>
        <w:rPr>
          <w:b/>
          <w:sz w:val="28"/>
        </w:rPr>
        <w:t>Kurum İç Değerlendirme Raporu Kılavuzu 3.2.1’de Değişikliğe İlişkin Cetvel</w:t>
      </w:r>
    </w:p>
    <w:tbl>
      <w:tblPr>
        <w:tblStyle w:val="164"/>
        <w:tblW w:w="0" w:type="auto"/>
        <w:jc w:val="center"/>
        <w:tblBorders>
          <w:top w:val="single" w:color="538135" w:sz="4" w:space="0"/>
          <w:left w:val="single" w:color="538135" w:sz="4" w:space="0"/>
          <w:bottom w:val="single" w:color="538135" w:sz="4" w:space="0"/>
          <w:right w:val="single" w:color="538135" w:sz="4" w:space="0"/>
          <w:insideH w:val="single" w:color="538135" w:sz="4" w:space="0"/>
          <w:insideV w:val="single" w:color="538135" w:sz="4" w:space="0"/>
        </w:tblBorders>
        <w:tblLayout w:type="autofit"/>
        <w:tblCellMar>
          <w:top w:w="0" w:type="dxa"/>
          <w:left w:w="108" w:type="dxa"/>
          <w:bottom w:w="0" w:type="dxa"/>
          <w:right w:w="108" w:type="dxa"/>
        </w:tblCellMar>
      </w:tblPr>
      <w:tblGrid>
        <w:gridCol w:w="4428"/>
        <w:gridCol w:w="4584"/>
      </w:tblGrid>
      <w:tr w14:paraId="61C1E55C">
        <w:tblPrEx>
          <w:tblBorders>
            <w:top w:val="single" w:color="538135" w:sz="4" w:space="0"/>
            <w:left w:val="single" w:color="538135" w:sz="4" w:space="0"/>
            <w:bottom w:val="single" w:color="538135" w:sz="4" w:space="0"/>
            <w:right w:val="single" w:color="538135" w:sz="4" w:space="0"/>
            <w:insideH w:val="single" w:color="538135" w:sz="4" w:space="0"/>
            <w:insideV w:val="single" w:color="538135" w:sz="4" w:space="0"/>
          </w:tblBorders>
          <w:tblCellMar>
            <w:top w:w="0" w:type="dxa"/>
            <w:left w:w="108" w:type="dxa"/>
            <w:bottom w:w="0" w:type="dxa"/>
            <w:right w:w="108" w:type="dxa"/>
          </w:tblCellMar>
        </w:tblPrEx>
        <w:trPr>
          <w:jc w:val="center"/>
        </w:trPr>
        <w:tc>
          <w:tcPr>
            <w:tcW w:w="4428" w:type="dxa"/>
            <w:tcBorders>
              <w:top w:val="single" w:color="16A086" w:sz="12" w:space="0"/>
              <w:left w:val="single" w:color="16A086" w:sz="12" w:space="0"/>
              <w:bottom w:val="single" w:color="16A086" w:sz="12" w:space="0"/>
              <w:right w:val="nil"/>
              <w:insideV w:val="nil"/>
            </w:tcBorders>
            <w:shd w:val="clear" w:color="auto" w:fill="FFFFFF" w:themeFill="background1"/>
          </w:tcPr>
          <w:p w14:paraId="035C03F6">
            <w:pPr>
              <w:widowControl/>
              <w:spacing w:after="160" w:line="259" w:lineRule="auto"/>
              <w:jc w:val="center"/>
              <w:rPr>
                <w:rFonts w:ascii="CamberW04-Regular" w:hAnsi="CamberW04-Regular" w:eastAsia="CamberW04-Regular" w:cs="CamberW04-Regular"/>
                <w:b/>
                <w:bCs/>
                <w:color w:val="000000" w:themeColor="text1"/>
                <w:sz w:val="24"/>
                <w14:textFill>
                  <w14:solidFill>
                    <w14:schemeClr w14:val="tx1"/>
                  </w14:solidFill>
                </w14:textFill>
              </w:rPr>
            </w:pPr>
          </w:p>
          <w:p w14:paraId="7C109D0D">
            <w:pPr>
              <w:widowControl/>
              <w:spacing w:after="160" w:line="259" w:lineRule="auto"/>
              <w:jc w:val="center"/>
              <w:rPr>
                <w:rFonts w:ascii="CamberW04-Regular" w:hAnsi="CamberW04-Regular" w:eastAsia="CamberW04-Regular" w:cs="CamberW04-Regular"/>
                <w:b/>
                <w:bCs/>
                <w:color w:val="000000" w:themeColor="text1"/>
                <w:sz w:val="24"/>
                <w14:textFill>
                  <w14:solidFill>
                    <w14:schemeClr w14:val="tx1"/>
                  </w14:solidFill>
                </w14:textFill>
              </w:rPr>
            </w:pPr>
            <w:r>
              <w:rPr>
                <w:rFonts w:ascii="CamberW04-Regular" w:hAnsi="CamberW04-Regular" w:eastAsia="CamberW04-Regular" w:cs="CamberW04-Regular"/>
                <w:b/>
                <w:bCs/>
                <w:color w:val="000000" w:themeColor="text1"/>
                <w:sz w:val="24"/>
                <w14:textFill>
                  <w14:solidFill>
                    <w14:schemeClr w14:val="tx1"/>
                  </w14:solidFill>
                </w14:textFill>
              </w:rPr>
              <w:t>Mevcut Hali</w:t>
            </w:r>
          </w:p>
        </w:tc>
        <w:tc>
          <w:tcPr>
            <w:tcW w:w="4584" w:type="dxa"/>
            <w:tcBorders>
              <w:top w:val="single" w:color="16A086" w:sz="12" w:space="0"/>
              <w:left w:val="single" w:color="16A086" w:sz="12" w:space="0"/>
              <w:bottom w:val="single" w:color="16A086" w:sz="12" w:space="0"/>
              <w:right w:val="single" w:color="16A086" w:sz="12" w:space="0"/>
              <w:insideV w:val="nil"/>
            </w:tcBorders>
            <w:shd w:val="clear" w:color="auto" w:fill="FFFFFF" w:themeFill="background1"/>
          </w:tcPr>
          <w:p w14:paraId="2465EDC4">
            <w:pPr>
              <w:widowControl/>
              <w:spacing w:after="160" w:line="259" w:lineRule="auto"/>
              <w:jc w:val="center"/>
              <w:rPr>
                <w:rFonts w:ascii="CamberW04-Regular" w:hAnsi="CamberW04-Regular" w:eastAsia="CamberW04-Regular" w:cs="CamberW04-Regular"/>
                <w:b/>
                <w:bCs/>
                <w:color w:val="000000" w:themeColor="text1"/>
                <w:sz w:val="24"/>
                <w14:textFill>
                  <w14:solidFill>
                    <w14:schemeClr w14:val="tx1"/>
                  </w14:solidFill>
                </w14:textFill>
              </w:rPr>
            </w:pPr>
          </w:p>
          <w:p w14:paraId="755F3D5C">
            <w:pPr>
              <w:widowControl/>
              <w:spacing w:after="160" w:line="259" w:lineRule="auto"/>
              <w:jc w:val="center"/>
              <w:rPr>
                <w:rFonts w:ascii="CamberW04-Regular" w:hAnsi="CamberW04-Regular" w:eastAsia="CamberW04-Regular" w:cs="CamberW04-Regular"/>
                <w:b/>
                <w:bCs/>
                <w:color w:val="000000" w:themeColor="text1"/>
                <w:sz w:val="24"/>
                <w14:textFill>
                  <w14:solidFill>
                    <w14:schemeClr w14:val="tx1"/>
                  </w14:solidFill>
                </w14:textFill>
              </w:rPr>
            </w:pPr>
            <w:r>
              <w:rPr>
                <w:rFonts w:ascii="CamberW04-Regular" w:hAnsi="CamberW04-Regular" w:eastAsia="CamberW04-Regular" w:cs="CamberW04-Regular"/>
                <w:b/>
                <w:bCs/>
                <w:color w:val="000000" w:themeColor="text1"/>
                <w:sz w:val="24"/>
                <w14:textFill>
                  <w14:solidFill>
                    <w14:schemeClr w14:val="tx1"/>
                  </w14:solidFill>
                </w14:textFill>
              </w:rPr>
              <w:t>Değiştirilmiş Hali</w:t>
            </w:r>
          </w:p>
        </w:tc>
      </w:tr>
      <w:tr w14:paraId="390B6574">
        <w:tblPrEx>
          <w:tblBorders>
            <w:top w:val="single" w:color="538135" w:sz="4" w:space="0"/>
            <w:left w:val="single" w:color="538135" w:sz="4" w:space="0"/>
            <w:bottom w:val="single" w:color="538135" w:sz="4" w:space="0"/>
            <w:right w:val="single" w:color="538135" w:sz="4" w:space="0"/>
            <w:insideH w:val="single" w:color="538135" w:sz="4" w:space="0"/>
            <w:insideV w:val="single" w:color="538135" w:sz="4" w:space="0"/>
          </w:tblBorders>
          <w:tblCellMar>
            <w:top w:w="0" w:type="dxa"/>
            <w:left w:w="108" w:type="dxa"/>
            <w:bottom w:w="0" w:type="dxa"/>
            <w:right w:w="108" w:type="dxa"/>
          </w:tblCellMar>
        </w:tblPrEx>
        <w:trPr>
          <w:trHeight w:val="4343" w:hRule="atLeast"/>
          <w:jc w:val="center"/>
        </w:trPr>
        <w:tc>
          <w:tcPr>
            <w:tcW w:w="4428" w:type="dxa"/>
            <w:tcBorders>
              <w:top w:val="single" w:color="16A086" w:sz="12" w:space="0"/>
              <w:left w:val="single" w:color="16A086" w:sz="12" w:space="0"/>
              <w:bottom w:val="single" w:color="16A086" w:sz="12" w:space="0"/>
              <w:right w:val="single" w:color="16A086" w:sz="12" w:space="0"/>
            </w:tcBorders>
            <w:shd w:val="clear" w:color="auto" w:fill="F1F1F1" w:themeFill="background1" w:themeFillShade="F2"/>
          </w:tcPr>
          <w:p w14:paraId="574288DC">
            <w:pPr>
              <w:widowControl/>
              <w:spacing w:after="160" w:line="259" w:lineRule="auto"/>
              <w:jc w:val="both"/>
              <w:rPr>
                <w:rFonts w:asciiTheme="minorHAnsi" w:hAnsiTheme="minorHAnsi" w:cstheme="minorHAnsi"/>
                <w:b w:val="0"/>
                <w:bCs/>
              </w:rPr>
            </w:pPr>
          </w:p>
          <w:p w14:paraId="1EA333A1">
            <w:pPr>
              <w:pStyle w:val="41"/>
              <w:widowControl/>
              <w:numPr>
                <w:ilvl w:val="0"/>
                <w:numId w:val="10"/>
              </w:numPr>
              <w:ind w:left="299" w:hanging="299"/>
              <w:jc w:val="both"/>
              <w:rPr>
                <w:rFonts w:ascii="CamberW04-Regular" w:hAnsi="CamberW04-Regular" w:eastAsia="Times New Roman" w:cs="Times New Roman"/>
                <w:b w:val="0"/>
                <w:bCs w:val="0"/>
                <w:sz w:val="18"/>
                <w:szCs w:val="20"/>
              </w:rPr>
            </w:pPr>
            <w:r>
              <w:rPr>
                <w:rFonts w:ascii="CamberW04-Regular" w:hAnsi="CamberW04-Regular" w:eastAsia="Times New Roman" w:cs="Times New Roman"/>
                <w:b w:val="0"/>
                <w:bCs w:val="0"/>
                <w:sz w:val="18"/>
                <w:szCs w:val="20"/>
              </w:rPr>
              <w:t xml:space="preserve">Kanıt adı yazımında, en başa kanıtın ait olduğu olgunluk düzeyini yazınız. </w:t>
            </w:r>
          </w:p>
          <w:p w14:paraId="02557EFD">
            <w:pPr>
              <w:pStyle w:val="41"/>
              <w:widowControl/>
              <w:ind w:left="299"/>
              <w:jc w:val="both"/>
              <w:rPr>
                <w:rFonts w:ascii="CamberW04-Regular" w:hAnsi="CamberW04-Regular" w:eastAsia="Times New Roman" w:cs="Times New Roman"/>
                <w:b/>
                <w:bCs/>
                <w:sz w:val="18"/>
                <w:szCs w:val="20"/>
              </w:rPr>
            </w:pPr>
          </w:p>
          <w:p w14:paraId="74F57E82">
            <w:pPr>
              <w:widowControl/>
              <w:jc w:val="both"/>
              <w:rPr>
                <w:rFonts w:ascii="CamberW04-Regular" w:hAnsi="CamberW04-Regular" w:eastAsia="Times New Roman" w:cs="Times New Roman"/>
                <w:b w:val="0"/>
                <w:bCs w:val="0"/>
                <w:sz w:val="18"/>
                <w:szCs w:val="20"/>
              </w:rPr>
            </w:pPr>
            <w:r>
              <w:rPr>
                <w:rFonts w:ascii="CamberW04-Regular" w:hAnsi="CamberW04-Regular" w:eastAsia="Times New Roman" w:cs="Times New Roman"/>
                <w:b w:val="0"/>
                <w:bCs w:val="0"/>
                <w:sz w:val="18"/>
                <w:szCs w:val="20"/>
              </w:rPr>
              <w:t xml:space="preserve">Örneğin; </w:t>
            </w:r>
          </w:p>
          <w:p w14:paraId="541F72D7">
            <w:pPr>
              <w:widowControl/>
              <w:jc w:val="both"/>
              <w:rPr>
                <w:rFonts w:ascii="CamberW04-Regular" w:hAnsi="CamberW04-Regular" w:eastAsia="Times New Roman" w:cs="Times New Roman"/>
                <w:b w:val="0"/>
                <w:bCs/>
                <w:szCs w:val="24"/>
              </w:rPr>
            </w:pPr>
            <w:r>
              <w:rPr>
                <w:rFonts w:ascii="CamberW04-Regular" w:hAnsi="CamberW04-Regular" w:eastAsia="Times New Roman" w:cs="Times New Roman"/>
                <w:b/>
                <w:bCs/>
                <w:szCs w:val="24"/>
              </w:rPr>
              <w:drawing>
                <wp:inline distT="0" distB="0" distL="0" distR="0">
                  <wp:extent cx="1439545" cy="990600"/>
                  <wp:effectExtent l="0" t="0" r="825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pic:cNvPicPr>
                        </pic:nvPicPr>
                        <pic:blipFill>
                          <a:blip r:embed="rId16">
                            <a:extLst>
                              <a:ext uri="{28A0092B-C50C-407E-A947-70E740481C1C}">
                                <a14:useLocalDpi xmlns:a14="http://schemas.microsoft.com/office/drawing/2010/main" val="0"/>
                              </a:ext>
                            </a:extLst>
                          </a:blip>
                          <a:srcRect l="1" t="18676" r="6185" b="53119"/>
                          <a:stretch>
                            <a:fillRect/>
                          </a:stretch>
                        </pic:blipFill>
                        <pic:spPr>
                          <a:xfrm>
                            <a:off x="0" y="0"/>
                            <a:ext cx="1461569" cy="1005551"/>
                          </a:xfrm>
                          <a:prstGeom prst="rect">
                            <a:avLst/>
                          </a:prstGeom>
                          <a:ln>
                            <a:noFill/>
                          </a:ln>
                        </pic:spPr>
                      </pic:pic>
                    </a:graphicData>
                  </a:graphic>
                </wp:inline>
              </w:drawing>
            </w:r>
          </w:p>
          <w:p w14:paraId="55858F46">
            <w:pPr>
              <w:pStyle w:val="41"/>
              <w:widowControl/>
              <w:numPr>
                <w:ilvl w:val="0"/>
                <w:numId w:val="10"/>
              </w:numPr>
              <w:tabs>
                <w:tab w:val="left" w:pos="466"/>
              </w:tabs>
              <w:ind w:left="299" w:hanging="284"/>
              <w:jc w:val="both"/>
              <w:rPr>
                <w:rFonts w:ascii="CamberW04-Regular" w:hAnsi="CamberW04-Regular" w:eastAsia="Times New Roman" w:cs="Times New Roman"/>
                <w:b w:val="0"/>
                <w:bCs w:val="0"/>
                <w:sz w:val="18"/>
                <w:szCs w:val="20"/>
              </w:rPr>
            </w:pPr>
            <w:r>
              <w:rPr>
                <w:rFonts w:ascii="CamberW04-Regular" w:hAnsi="CamberW04-Regular" w:eastAsia="Times New Roman" w:cs="Times New Roman"/>
                <w:b w:val="0"/>
                <w:bCs w:val="0"/>
                <w:sz w:val="18"/>
                <w:szCs w:val="20"/>
              </w:rPr>
              <w:t>Kanıt adı yazımında, olgunluk düzeyinden sonra ilgili alt ölçütün referans numarasını ve kanıt sayısını yazınız.</w:t>
            </w:r>
          </w:p>
          <w:p w14:paraId="7FD66337">
            <w:pPr>
              <w:widowControl/>
              <w:jc w:val="both"/>
              <w:rPr>
                <w:rFonts w:ascii="CamberW04-Regular" w:hAnsi="CamberW04-Regular" w:eastAsia="Times New Roman" w:cs="Times New Roman"/>
                <w:b w:val="0"/>
                <w:bCs/>
                <w:szCs w:val="24"/>
              </w:rPr>
            </w:pPr>
          </w:p>
          <w:p w14:paraId="3758C764">
            <w:pPr>
              <w:widowControl/>
              <w:jc w:val="both"/>
              <w:rPr>
                <w:rFonts w:ascii="CamberW04-Regular" w:hAnsi="CamberW04-Regular" w:eastAsia="Times New Roman" w:cs="Times New Roman"/>
                <w:b w:val="0"/>
                <w:bCs w:val="0"/>
                <w:sz w:val="18"/>
                <w:szCs w:val="20"/>
              </w:rPr>
            </w:pPr>
            <w:r>
              <w:rPr>
                <w:rFonts w:ascii="CamberW04-Regular" w:hAnsi="CamberW04-Regular" w:eastAsia="Times New Roman" w:cs="Times New Roman"/>
                <w:b w:val="0"/>
                <w:bCs w:val="0"/>
                <w:sz w:val="18"/>
                <w:szCs w:val="20"/>
              </w:rPr>
              <w:t xml:space="preserve">Örneğin; </w:t>
            </w:r>
          </w:p>
          <w:p w14:paraId="6AAE1D86">
            <w:pPr>
              <w:widowControl/>
              <w:spacing w:after="160" w:line="259" w:lineRule="auto"/>
              <w:rPr>
                <w:rFonts w:eastAsia="CamberW04-Regular" w:asciiTheme="minorHAnsi" w:hAnsiTheme="minorHAnsi" w:cstheme="minorHAnsi"/>
                <w:b/>
                <w:bCs w:val="0"/>
              </w:rPr>
            </w:pPr>
            <w:r>
              <w:rPr>
                <w:rFonts w:eastAsia="CamberW04-Regular" w:asciiTheme="minorHAnsi" w:hAnsiTheme="minorHAnsi" w:cstheme="minorHAnsi"/>
                <w:b/>
                <w:bCs/>
              </w:rPr>
              <w:drawing>
                <wp:inline distT="0" distB="0" distL="0" distR="0">
                  <wp:extent cx="1951355" cy="9366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16">
                            <a:extLst>
                              <a:ext uri="{28A0092B-C50C-407E-A947-70E740481C1C}">
                                <a14:useLocalDpi xmlns:a14="http://schemas.microsoft.com/office/drawing/2010/main" val="0"/>
                              </a:ext>
                            </a:extLst>
                          </a:blip>
                          <a:srcRect t="60536" r="-2074" b="18055"/>
                          <a:stretch>
                            <a:fillRect/>
                          </a:stretch>
                        </pic:blipFill>
                        <pic:spPr>
                          <a:xfrm>
                            <a:off x="0" y="0"/>
                            <a:ext cx="1961189" cy="941325"/>
                          </a:xfrm>
                          <a:prstGeom prst="rect">
                            <a:avLst/>
                          </a:prstGeom>
                          <a:ln>
                            <a:noFill/>
                          </a:ln>
                        </pic:spPr>
                      </pic:pic>
                    </a:graphicData>
                  </a:graphic>
                </wp:inline>
              </w:drawing>
            </w:r>
          </w:p>
          <w:p w14:paraId="0DAD7B6B">
            <w:pPr>
              <w:widowControl/>
              <w:spacing w:after="160" w:line="259" w:lineRule="auto"/>
              <w:rPr>
                <w:rFonts w:eastAsia="CamberW04-Regular" w:asciiTheme="minorHAnsi" w:hAnsiTheme="minorHAnsi" w:cstheme="minorHAnsi"/>
                <w:b w:val="0"/>
                <w:bCs/>
              </w:rPr>
            </w:pPr>
          </w:p>
        </w:tc>
        <w:tc>
          <w:tcPr>
            <w:tcW w:w="4584" w:type="dxa"/>
            <w:tcBorders>
              <w:top w:val="single" w:color="16A086" w:sz="12" w:space="0"/>
              <w:left w:val="single" w:color="16A086" w:sz="12" w:space="0"/>
              <w:bottom w:val="single" w:color="16A086" w:sz="12" w:space="0"/>
              <w:right w:val="single" w:color="16A086" w:sz="12" w:space="0"/>
            </w:tcBorders>
            <w:shd w:val="clear" w:color="auto" w:fill="F1F1F1" w:themeFill="background1" w:themeFillShade="F2"/>
          </w:tcPr>
          <w:p w14:paraId="50869C4D">
            <w:pPr>
              <w:widowControl/>
              <w:jc w:val="both"/>
              <w:rPr>
                <w:rFonts w:ascii="CamberW04-Regular" w:hAnsi="CamberW04-Regular" w:eastAsia="Times New Roman" w:cs="Times New Roman"/>
                <w:sz w:val="16"/>
                <w:szCs w:val="18"/>
              </w:rPr>
            </w:pPr>
          </w:p>
          <w:p w14:paraId="30C10B00">
            <w:pPr>
              <w:widowControl/>
              <w:jc w:val="both"/>
              <w:rPr>
                <w:rFonts w:ascii="CamberW04-Regular" w:hAnsi="CamberW04-Regular" w:eastAsia="Times New Roman" w:cs="Times New Roman"/>
                <w:sz w:val="16"/>
                <w:szCs w:val="18"/>
              </w:rPr>
            </w:pPr>
            <w:r>
              <w:rPr>
                <w:rFonts w:ascii="CamberW04-Regular" w:hAnsi="CamberW04-Regular" w:eastAsia="Times New Roman" w:cs="Times New Roman"/>
                <w:sz w:val="16"/>
                <w:szCs w:val="18"/>
              </w:rPr>
              <w:t>3. Türkçe karakter kullanmayınız.</w:t>
            </w:r>
          </w:p>
          <w:p w14:paraId="59317C9A">
            <w:pPr>
              <w:widowControl/>
              <w:jc w:val="both"/>
              <w:rPr>
                <w:rFonts w:ascii="CamberW04-Regular" w:hAnsi="CamberW04-Regular" w:eastAsia="Times New Roman" w:cs="Times New Roman"/>
                <w:sz w:val="16"/>
                <w:szCs w:val="18"/>
              </w:rPr>
            </w:pPr>
            <w:r>
              <w:rPr>
                <w:rFonts w:ascii="CamberW04-Regular" w:hAnsi="CamberW04-Regular" w:eastAsia="Times New Roman" w:cs="Times New Roman"/>
                <w:sz w:val="16"/>
                <w:szCs w:val="18"/>
              </w:rPr>
              <w:t>4. Metin içerisinde yalnızca ilgili cümle/paragrafın bitiminde sıra numarasını ve ilgili olgunluk düzeyini belirtiniz.</w:t>
            </w:r>
          </w:p>
          <w:p w14:paraId="6AE8B64A">
            <w:pPr>
              <w:widowControl/>
              <w:jc w:val="both"/>
              <w:rPr>
                <w:rFonts w:ascii="CamberW04-Regular" w:hAnsi="CamberW04-Regular" w:eastAsia="Times New Roman" w:cs="Times New Roman"/>
                <w:b/>
                <w:sz w:val="16"/>
                <w:szCs w:val="18"/>
              </w:rPr>
            </w:pPr>
          </w:p>
          <w:p w14:paraId="64CBB7A6">
            <w:pPr>
              <w:widowControl/>
              <w:jc w:val="both"/>
              <w:rPr>
                <w:rFonts w:ascii="CamberW04-Regular" w:hAnsi="CamberW04-Regular" w:eastAsia="Times New Roman" w:cs="Times New Roman"/>
                <w:b/>
                <w:sz w:val="16"/>
                <w:szCs w:val="18"/>
              </w:rPr>
            </w:pPr>
            <w:r>
              <w:rPr>
                <w:rFonts w:ascii="CamberW04-Regular" w:hAnsi="CamberW04-Regular" w:eastAsia="Times New Roman" w:cs="Times New Roman"/>
                <w:b/>
                <w:sz w:val="16"/>
                <w:szCs w:val="18"/>
              </w:rPr>
              <w:t>Örnek;</w:t>
            </w:r>
          </w:p>
          <w:p w14:paraId="765151C3">
            <w:pPr>
              <w:widowControl/>
              <w:ind w:left="49" w:right="331"/>
              <w:jc w:val="both"/>
              <w:rPr>
                <w:rFonts w:ascii="CamberW04-Regular" w:hAnsi="CamberW04-Regular" w:eastAsia="Times New Roman" w:cs="Times New Roman"/>
                <w:bCs/>
                <w:sz w:val="16"/>
                <w:szCs w:val="18"/>
              </w:rPr>
            </w:pPr>
            <w:r>
              <w:rPr>
                <w:rFonts w:ascii="CamberW04-Regular" w:hAnsi="CamberW04-Regular" w:eastAsia="Times New Roman" w:cs="Times New Roman"/>
                <w:bCs/>
                <w:sz w:val="16"/>
                <w:szCs w:val="18"/>
              </w:rPr>
              <w:t xml:space="preserve">Üniversitemizde, alan farklılıklarına göre yeterliliklerin çeşitli eğitim türlerine göre kazandırılabileceğine yönelik ilke ve kurallar belirlenmiştir </w:t>
            </w:r>
            <w:r>
              <w:rPr>
                <w:rFonts w:ascii="CamberW04-Regular" w:hAnsi="CamberW04-Regular" w:eastAsia="Times New Roman" w:cs="Times New Roman"/>
                <w:b/>
                <w:sz w:val="16"/>
                <w:szCs w:val="18"/>
              </w:rPr>
              <w:t>[1_OD2]</w:t>
            </w:r>
            <w:r>
              <w:rPr>
                <w:rFonts w:ascii="CamberW04-Regular" w:hAnsi="CamberW04-Regular" w:eastAsia="Times New Roman" w:cs="Times New Roman"/>
                <w:bCs/>
                <w:sz w:val="16"/>
                <w:szCs w:val="18"/>
              </w:rPr>
              <w:t xml:space="preserve">. Programların tasarımı ve onayına ilişkin tanımlı süreçler doğrultusunda uygulamalar gerçekleştirilmektedir </w:t>
            </w:r>
            <w:r>
              <w:rPr>
                <w:rFonts w:ascii="CamberW04-Regular" w:hAnsi="CamberW04-Regular" w:eastAsia="Times New Roman" w:cs="Times New Roman"/>
                <w:b/>
                <w:sz w:val="16"/>
                <w:szCs w:val="18"/>
              </w:rPr>
              <w:t>[2_OD3]</w:t>
            </w:r>
            <w:r>
              <w:rPr>
                <w:rFonts w:ascii="CamberW04-Regular" w:hAnsi="CamberW04-Regular" w:eastAsia="Times New Roman" w:cs="Times New Roman"/>
                <w:bCs/>
                <w:sz w:val="16"/>
                <w:szCs w:val="18"/>
              </w:rPr>
              <w:t xml:space="preserve">. Bu uygulamalardan bazı sonuçlar elde edilmekte olup bu sonuçların paydaşlarla birlikte izlenmesi sistematik olarak yapılmaktadır </w:t>
            </w:r>
            <w:r>
              <w:rPr>
                <w:rFonts w:ascii="CamberW04-Regular" w:hAnsi="CamberW04-Regular" w:eastAsia="Times New Roman" w:cs="Times New Roman"/>
                <w:b/>
                <w:sz w:val="16"/>
                <w:szCs w:val="18"/>
              </w:rPr>
              <w:t>[3_OD4][4_OD4]</w:t>
            </w:r>
            <w:r>
              <w:rPr>
                <w:rFonts w:ascii="CamberW04-Regular" w:hAnsi="CamberW04-Regular" w:eastAsia="Times New Roman" w:cs="Times New Roman"/>
                <w:bCs/>
                <w:sz w:val="16"/>
                <w:szCs w:val="18"/>
              </w:rPr>
              <w:t xml:space="preserve">. </w:t>
            </w:r>
          </w:p>
          <w:p w14:paraId="28BAACB6">
            <w:pPr>
              <w:widowControl/>
              <w:ind w:left="49"/>
              <w:jc w:val="both"/>
              <w:rPr>
                <w:rFonts w:ascii="CamberW04-Regular" w:hAnsi="CamberW04-Regular" w:eastAsia="Times New Roman" w:cs="Times New Roman"/>
                <w:bCs/>
                <w:sz w:val="16"/>
                <w:szCs w:val="18"/>
              </w:rPr>
            </w:pPr>
          </w:p>
          <w:p w14:paraId="0CA6DAC8">
            <w:pPr>
              <w:widowControl/>
              <w:ind w:right="331"/>
              <w:jc w:val="both"/>
              <w:rPr>
                <w:rFonts w:ascii="CamberW04-Regular" w:hAnsi="CamberW04-Regular" w:eastAsia="Times New Roman" w:cs="Times New Roman"/>
                <w:color w:val="000000" w:themeColor="text1"/>
                <w:sz w:val="16"/>
                <w:szCs w:val="18"/>
                <w14:textFill>
                  <w14:solidFill>
                    <w14:schemeClr w14:val="tx1"/>
                  </w14:solidFill>
                </w14:textFill>
              </w:rPr>
            </w:pPr>
            <w:r>
              <w:rPr>
                <w:rFonts w:ascii="CamberW04-Regular" w:hAnsi="CamberW04-Regular" w:eastAsia="Times New Roman" w:cs="Times New Roman"/>
                <w:color w:val="000000" w:themeColor="text1"/>
                <w:sz w:val="16"/>
                <w:szCs w:val="18"/>
                <w14:textFill>
                  <w14:solidFill>
                    <w14:schemeClr w14:val="tx1"/>
                  </w14:solidFill>
                </w14:textFill>
              </w:rPr>
              <w:t>5. Metin içi link verme/köprüleme gösterimlerinde, kanıtın ait olduğu olgunluk düzeyi yazılmalıdır.  Verilen link/köprüleme kanıtlarının, kanıtlar bölümüne tekrar eklenmesine gerek yoktur.</w:t>
            </w:r>
          </w:p>
          <w:p w14:paraId="6CCBC0BC">
            <w:pPr>
              <w:widowControl/>
              <w:ind w:right="331"/>
              <w:jc w:val="both"/>
              <w:rPr>
                <w:rFonts w:ascii="CamberW04-Regular" w:hAnsi="CamberW04-Regular" w:eastAsia="Times New Roman" w:cs="Times New Roman"/>
                <w:color w:val="000000" w:themeColor="text1"/>
                <w:sz w:val="16"/>
                <w:szCs w:val="18"/>
                <w14:textFill>
                  <w14:solidFill>
                    <w14:schemeClr w14:val="tx1"/>
                  </w14:solidFill>
                </w14:textFill>
              </w:rPr>
            </w:pPr>
          </w:p>
          <w:p w14:paraId="7823F3DC">
            <w:pPr>
              <w:widowControl/>
              <w:ind w:right="331"/>
              <w:jc w:val="both"/>
              <w:rPr>
                <w:rFonts w:ascii="CamberW04-Regular" w:hAnsi="CamberW04-Regular" w:eastAsia="Times New Roman" w:cs="Times New Roman"/>
                <w:b/>
                <w:bCs/>
                <w:color w:val="000000" w:themeColor="text1"/>
                <w:sz w:val="16"/>
                <w:szCs w:val="18"/>
                <w14:textFill>
                  <w14:solidFill>
                    <w14:schemeClr w14:val="tx1"/>
                  </w14:solidFill>
                </w14:textFill>
              </w:rPr>
            </w:pPr>
            <w:r>
              <w:rPr>
                <w:rFonts w:ascii="CamberW04-Regular" w:hAnsi="CamberW04-Regular" w:eastAsia="Times New Roman" w:cs="Times New Roman"/>
                <w:b/>
                <w:bCs/>
                <w:color w:val="000000" w:themeColor="text1"/>
                <w:sz w:val="16"/>
                <w:szCs w:val="18"/>
                <w14:textFill>
                  <w14:solidFill>
                    <w14:schemeClr w14:val="tx1"/>
                  </w14:solidFill>
                </w14:textFill>
              </w:rPr>
              <w:t xml:space="preserve">Örnek: </w:t>
            </w:r>
          </w:p>
          <w:p w14:paraId="51796458">
            <w:pPr>
              <w:widowControl/>
              <w:spacing w:after="160" w:line="259" w:lineRule="auto"/>
              <w:jc w:val="both"/>
              <w:rPr>
                <w:rFonts w:eastAsia="CamberW04-Regular" w:asciiTheme="minorHAnsi" w:hAnsiTheme="minorHAnsi" w:cstheme="minorHAnsi"/>
                <w:sz w:val="16"/>
                <w:szCs w:val="18"/>
              </w:rPr>
            </w:pPr>
            <w:r>
              <w:rPr>
                <w:rFonts w:ascii="CamberW04-Regular" w:hAnsi="CamberW04-Regular" w:eastAsia="Times New Roman" w:cs="Times New Roman"/>
                <w:bCs/>
                <w:sz w:val="16"/>
                <w:szCs w:val="18"/>
              </w:rPr>
              <w:t xml:space="preserve">Üniversitemizde, alan farklılıklarına göre yeterliliklerin çeşitli eğitim türlerine göre kazandırılabileceğine yönelik ilke ve kurallar belirlenmiştir </w:t>
            </w:r>
            <w:r>
              <w:rPr>
                <w:rFonts w:ascii="CamberW04-Regular" w:hAnsi="CamberW04-Regular" w:eastAsia="Times New Roman" w:cs="Times New Roman"/>
                <w:b/>
                <w:color w:val="0070C0"/>
                <w:sz w:val="16"/>
                <w:szCs w:val="18"/>
              </w:rPr>
              <w:t>(OD2)</w:t>
            </w:r>
            <w:r>
              <w:rPr>
                <w:rFonts w:ascii="CamberW04-Regular" w:hAnsi="CamberW04-Regular" w:eastAsia="Times New Roman" w:cs="Times New Roman"/>
                <w:bCs/>
                <w:sz w:val="16"/>
                <w:szCs w:val="18"/>
              </w:rPr>
              <w:t xml:space="preserve">. Programların tasarımı ve onayına ilişkin tanımlı süreçler doğrultusunda uygulamalar gerçekleştirilmektedir </w:t>
            </w:r>
            <w:r>
              <w:rPr>
                <w:rFonts w:ascii="CamberW04-Regular" w:hAnsi="CamberW04-Regular" w:eastAsia="Times New Roman" w:cs="Times New Roman"/>
                <w:b/>
                <w:color w:val="0070C0"/>
                <w:sz w:val="16"/>
                <w:szCs w:val="18"/>
              </w:rPr>
              <w:t>(OD3)</w:t>
            </w:r>
            <w:r>
              <w:rPr>
                <w:rFonts w:ascii="CamberW04-Regular" w:hAnsi="CamberW04-Regular" w:eastAsia="Times New Roman" w:cs="Times New Roman"/>
                <w:bCs/>
                <w:sz w:val="16"/>
                <w:szCs w:val="18"/>
              </w:rPr>
              <w:t xml:space="preserve">. </w:t>
            </w:r>
            <w:r>
              <w:rPr>
                <w:rFonts w:ascii="CamberW04-Regular" w:hAnsi="CamberW04-Regular" w:eastAsia="Times New Roman" w:cs="Times New Roman"/>
                <w:bCs/>
                <w:color w:val="00B050"/>
                <w:sz w:val="16"/>
                <w:szCs w:val="18"/>
              </w:rPr>
              <w:t>(syf.10).</w:t>
            </w:r>
          </w:p>
        </w:tc>
      </w:tr>
      <w:tr w14:paraId="01B78D90">
        <w:tblPrEx>
          <w:tblBorders>
            <w:top w:val="single" w:color="538135" w:sz="4" w:space="0"/>
            <w:left w:val="single" w:color="538135" w:sz="4" w:space="0"/>
            <w:bottom w:val="single" w:color="538135" w:sz="4" w:space="0"/>
            <w:right w:val="single" w:color="538135" w:sz="4" w:space="0"/>
            <w:insideH w:val="single" w:color="538135" w:sz="4" w:space="0"/>
            <w:insideV w:val="single" w:color="538135" w:sz="4" w:space="0"/>
          </w:tblBorders>
          <w:tblCellMar>
            <w:top w:w="0" w:type="dxa"/>
            <w:left w:w="108" w:type="dxa"/>
            <w:bottom w:w="0" w:type="dxa"/>
            <w:right w:w="108" w:type="dxa"/>
          </w:tblCellMar>
        </w:tblPrEx>
        <w:trPr>
          <w:trHeight w:val="2902" w:hRule="atLeast"/>
          <w:jc w:val="center"/>
        </w:trPr>
        <w:tc>
          <w:tcPr>
            <w:tcW w:w="4428" w:type="dxa"/>
            <w:tcBorders>
              <w:top w:val="single" w:color="16A086" w:sz="12" w:space="0"/>
              <w:left w:val="single" w:color="16A086" w:sz="12" w:space="0"/>
              <w:bottom w:val="single" w:color="16A086" w:sz="12" w:space="0"/>
              <w:right w:val="single" w:color="16A086" w:sz="12" w:space="0"/>
            </w:tcBorders>
            <w:shd w:val="clear" w:color="auto" w:fill="F1F1F1" w:themeFill="background1" w:themeFillShade="F2"/>
          </w:tcPr>
          <w:p w14:paraId="1CC9F246">
            <w:pPr>
              <w:spacing w:before="5" w:line="110" w:lineRule="auto"/>
              <w:ind w:right="63"/>
              <w:jc w:val="both"/>
              <w:rPr>
                <w:rFonts w:eastAsia="CamberW04-Regular" w:asciiTheme="majorHAnsi" w:hAnsiTheme="majorHAnsi" w:cstheme="majorHAnsi"/>
                <w:b w:val="0"/>
                <w:bCs/>
                <w:sz w:val="18"/>
                <w:szCs w:val="18"/>
              </w:rPr>
            </w:pPr>
          </w:p>
          <w:p w14:paraId="3D18EBDB">
            <w:pPr>
              <w:widowControl/>
              <w:spacing w:line="276" w:lineRule="auto"/>
              <w:jc w:val="both"/>
              <w:rPr>
                <w:rFonts w:ascii="CamberW04-Regular" w:hAnsi="CamberW04-Regular" w:eastAsia="Times New Roman" w:cs="Times New Roman"/>
                <w:b w:val="0"/>
                <w:bCs w:val="0"/>
                <w:color w:val="000000" w:themeColor="text1"/>
                <w:sz w:val="18"/>
                <w:szCs w:val="18"/>
                <w14:textFill>
                  <w14:solidFill>
                    <w14:schemeClr w14:val="tx1"/>
                  </w14:solidFill>
                </w14:textFill>
              </w:rPr>
            </w:pPr>
          </w:p>
          <w:p w14:paraId="57FDF342">
            <w:pPr>
              <w:pStyle w:val="41"/>
              <w:widowControl/>
              <w:numPr>
                <w:ilvl w:val="0"/>
                <w:numId w:val="11"/>
              </w:numPr>
              <w:spacing w:after="160" w:line="259" w:lineRule="auto"/>
              <w:ind w:left="164" w:hanging="142"/>
              <w:rPr>
                <w:rFonts w:ascii="CamberW04-Regular" w:hAnsi="CamberW04-Regular" w:eastAsia="Times New Roman" w:cs="Times New Roman"/>
                <w:b w:val="0"/>
                <w:bCs w:val="0"/>
                <w:sz w:val="18"/>
                <w:szCs w:val="18"/>
              </w:rPr>
            </w:pPr>
            <w:r>
              <w:rPr>
                <w:rFonts w:ascii="CamberW04-Regular" w:hAnsi="CamberW04-Regular" w:eastAsia="Times New Roman" w:cs="Times New Roman"/>
                <w:b w:val="0"/>
                <w:bCs w:val="0"/>
                <w:sz w:val="18"/>
                <w:szCs w:val="18"/>
              </w:rPr>
              <w:t xml:space="preserve">Kanıt adı yazılırken, en başa kanıtın ait olduğu olgunluk düzeyi yazılmalıdır. </w:t>
            </w:r>
          </w:p>
          <w:p w14:paraId="3527767E">
            <w:pPr>
              <w:widowControl/>
              <w:spacing w:after="160" w:line="259" w:lineRule="auto"/>
              <w:rPr>
                <w:rFonts w:ascii="CamberW04-Regular" w:hAnsi="CamberW04-Regular" w:eastAsia="Times New Roman" w:cs="Times New Roman"/>
                <w:b w:val="0"/>
                <w:bCs w:val="0"/>
                <w:sz w:val="18"/>
                <w:szCs w:val="18"/>
              </w:rPr>
            </w:pPr>
            <w:r>
              <w:rPr>
                <w:rFonts w:ascii="CamberW04-Regular" w:hAnsi="CamberW04-Regular" w:eastAsia="Times New Roman" w:cs="Times New Roman"/>
                <w:b w:val="0"/>
                <w:bCs w:val="0"/>
                <w:sz w:val="18"/>
                <w:szCs w:val="18"/>
              </w:rPr>
              <w:t xml:space="preserve">Örneğin; “(3)A.1.1.4.kanıtın_adı” </w:t>
            </w:r>
          </w:p>
          <w:p w14:paraId="1095CF98">
            <w:pPr>
              <w:pStyle w:val="41"/>
              <w:widowControl/>
              <w:numPr>
                <w:ilvl w:val="0"/>
                <w:numId w:val="11"/>
              </w:numPr>
              <w:spacing w:after="160" w:line="259" w:lineRule="auto"/>
              <w:ind w:left="164" w:hanging="142"/>
              <w:rPr>
                <w:rFonts w:ascii="CamberW04-Regular" w:hAnsi="CamberW04-Regular" w:eastAsia="Times New Roman" w:cs="Times New Roman"/>
                <w:b w:val="0"/>
                <w:bCs w:val="0"/>
                <w:sz w:val="18"/>
                <w:szCs w:val="18"/>
              </w:rPr>
            </w:pPr>
            <w:r>
              <w:rPr>
                <w:rFonts w:ascii="CamberW04-Regular" w:hAnsi="CamberW04-Regular" w:eastAsia="Times New Roman" w:cs="Times New Roman"/>
                <w:b w:val="0"/>
                <w:bCs w:val="0"/>
                <w:sz w:val="18"/>
                <w:szCs w:val="18"/>
              </w:rPr>
              <w:t xml:space="preserve">Kanıt adı yazılırken, olgunluk düzeyinden sonra ilgili alt ölçütün referans numarası ve kanıt sayısı (metin içerisinde kısa alıntılayabilmek için) yazılmalıdır. </w:t>
            </w:r>
          </w:p>
          <w:p w14:paraId="5BC224EB">
            <w:pPr>
              <w:widowControl/>
              <w:spacing w:after="160" w:line="259" w:lineRule="auto"/>
              <w:rPr>
                <w:rFonts w:ascii="CamberW04-Regular" w:hAnsi="CamberW04-Regular" w:eastAsia="Times New Roman" w:cs="Times New Roman"/>
                <w:b w:val="0"/>
                <w:bCs w:val="0"/>
                <w:sz w:val="18"/>
                <w:szCs w:val="18"/>
              </w:rPr>
            </w:pPr>
            <w:r>
              <w:rPr>
                <w:rFonts w:ascii="CamberW04-Regular" w:hAnsi="CamberW04-Regular" w:eastAsia="Times New Roman" w:cs="Times New Roman"/>
                <w:b w:val="0"/>
                <w:bCs w:val="0"/>
                <w:sz w:val="18"/>
                <w:szCs w:val="18"/>
              </w:rPr>
              <w:t xml:space="preserve">Örneğin; B.3.4. Dezavantajlı gruplar alt ölçütü için, 2 olgunluk düzeyine ait bir kanıt eklenecekse (planlama kanıtı) ve bu alt ölçüt için kullanılan ikinci kanıt ise, kanıt adı aşağıdaki şekilde olmalıdır. (2)B.3.4.2.kanıtın_adı </w:t>
            </w:r>
          </w:p>
          <w:p w14:paraId="3F46406F">
            <w:pPr>
              <w:pStyle w:val="41"/>
              <w:widowControl/>
              <w:numPr>
                <w:ilvl w:val="0"/>
                <w:numId w:val="11"/>
              </w:numPr>
              <w:spacing w:after="160" w:line="259" w:lineRule="auto"/>
              <w:ind w:left="164" w:hanging="142"/>
              <w:rPr>
                <w:rFonts w:ascii="CamberW04-Regular" w:hAnsi="CamberW04-Regular" w:eastAsia="Times New Roman" w:cs="Times New Roman"/>
                <w:b w:val="0"/>
                <w:bCs w:val="0"/>
                <w:sz w:val="18"/>
                <w:szCs w:val="18"/>
              </w:rPr>
            </w:pPr>
            <w:r>
              <w:rPr>
                <w:rFonts w:ascii="CamberW04-Regular" w:hAnsi="CamberW04-Regular" w:eastAsia="Times New Roman" w:cs="Times New Roman"/>
                <w:b w:val="0"/>
                <w:bCs w:val="0"/>
                <w:sz w:val="18"/>
                <w:szCs w:val="18"/>
              </w:rPr>
              <w:t xml:space="preserve">Bir alt ölçüt için kullanılan bir kanıt, bazı durumlarda farklı olgunluk düzeylerini kapsayabilir, bu durumda kanıt aşağıdaki şekilde adlandırılmalıdır. </w:t>
            </w:r>
          </w:p>
          <w:p w14:paraId="685CBF64">
            <w:pPr>
              <w:widowControl/>
              <w:spacing w:after="160" w:line="259" w:lineRule="auto"/>
              <w:rPr>
                <w:rFonts w:asciiTheme="minorHAnsi" w:hAnsiTheme="minorHAnsi" w:cstheme="minorHAnsi"/>
                <w:b w:val="0"/>
                <w:bCs/>
                <w:sz w:val="18"/>
                <w:szCs w:val="18"/>
              </w:rPr>
            </w:pPr>
            <w:r>
              <w:rPr>
                <w:rFonts w:ascii="CamberW04-Regular" w:hAnsi="CamberW04-Regular" w:eastAsia="Times New Roman" w:cs="Times New Roman"/>
                <w:b w:val="0"/>
                <w:bCs w:val="0"/>
                <w:sz w:val="18"/>
                <w:szCs w:val="18"/>
              </w:rPr>
              <w:t>Örneğin: (2)(3)A.3.1.1.kanıtın_adı</w:t>
            </w:r>
          </w:p>
        </w:tc>
        <w:tc>
          <w:tcPr>
            <w:tcW w:w="4584" w:type="dxa"/>
            <w:tcBorders>
              <w:top w:val="single" w:color="16A086" w:sz="12" w:space="0"/>
              <w:left w:val="single" w:color="16A086" w:sz="12" w:space="0"/>
              <w:bottom w:val="single" w:color="16A086" w:sz="12" w:space="0"/>
              <w:right w:val="single" w:color="16A086" w:sz="12" w:space="0"/>
            </w:tcBorders>
            <w:shd w:val="clear" w:color="auto" w:fill="F1F1F1" w:themeFill="background1" w:themeFillShade="F2"/>
          </w:tcPr>
          <w:p w14:paraId="2891E4E1">
            <w:pPr>
              <w:widowControl/>
              <w:spacing w:after="160" w:line="259" w:lineRule="auto"/>
              <w:jc w:val="both"/>
              <w:rPr>
                <w:rFonts w:asciiTheme="minorHAnsi" w:hAnsiTheme="minorHAnsi" w:cstheme="minorHAnsi"/>
                <w:bCs/>
              </w:rPr>
            </w:pPr>
          </w:p>
          <w:p w14:paraId="49273F63">
            <w:pPr>
              <w:widowControl/>
              <w:spacing w:line="276" w:lineRule="auto"/>
              <w:jc w:val="both"/>
              <w:rPr>
                <w:rFonts w:eastAsia="CamberW04-Regular" w:asciiTheme="minorHAnsi" w:hAnsiTheme="minorHAnsi" w:cstheme="minorHAnsi"/>
                <w:color w:val="000000"/>
                <w:szCs w:val="24"/>
              </w:rPr>
            </w:pPr>
            <w:r>
              <w:rPr>
                <w:rFonts w:eastAsia="CamberW04-Regular" w:asciiTheme="minorHAnsi" w:hAnsiTheme="minorHAnsi" w:cstheme="minorHAnsi"/>
                <w:color w:val="000000"/>
                <w:szCs w:val="24"/>
              </w:rPr>
              <w:t>Kaldırılmıştır.</w:t>
            </w:r>
          </w:p>
        </w:tc>
      </w:tr>
    </w:tbl>
    <w:p w14:paraId="000000D6">
      <w:pPr>
        <w:rPr>
          <w:rFonts w:ascii="CamberW04-Regular" w:hAnsi="CamberW04-Regular" w:eastAsia="CamberW04-Regular" w:cs="CamberW04-Regular"/>
          <w:b/>
          <w:color w:val="000000"/>
          <w:sz w:val="44"/>
          <w:szCs w:val="44"/>
        </w:rPr>
      </w:pPr>
    </w:p>
    <w:p w14:paraId="000000D7">
      <w:pPr>
        <w:jc w:val="center"/>
        <w:rPr>
          <w:rFonts w:ascii="CamberW04-Regular" w:hAnsi="CamberW04-Regular" w:eastAsia="CamberW04-Regular" w:cs="CamberW04-Regular"/>
          <w:b/>
          <w:color w:val="000000"/>
          <w:sz w:val="44"/>
          <w:szCs w:val="44"/>
        </w:rPr>
      </w:pPr>
    </w:p>
    <w:p w14:paraId="000000D8">
      <w:pPr>
        <w:jc w:val="center"/>
        <w:rPr>
          <w:rFonts w:ascii="CamberW04-Regular" w:hAnsi="CamberW04-Regular" w:eastAsia="CamberW04-Regular" w:cs="CamberW04-Regular"/>
          <w:b/>
          <w:color w:val="000000"/>
          <w:sz w:val="44"/>
          <w:szCs w:val="44"/>
        </w:rPr>
      </w:pPr>
    </w:p>
    <w:p w14:paraId="000000D9">
      <w:pPr>
        <w:jc w:val="center"/>
        <w:rPr>
          <w:rFonts w:ascii="CamberW04-Regular" w:hAnsi="CamberW04-Regular" w:eastAsia="CamberW04-Regular" w:cs="CamberW04-Regular"/>
          <w:b/>
          <w:color w:val="000000"/>
          <w:sz w:val="44"/>
          <w:szCs w:val="44"/>
        </w:rPr>
      </w:pPr>
    </w:p>
    <w:p w14:paraId="3696EC6A">
      <w:pPr>
        <w:jc w:val="center"/>
        <w:rPr>
          <w:rFonts w:ascii="CamberW04-Regular" w:hAnsi="CamberW04-Regular" w:eastAsia="CamberW04-Regular" w:cs="CamberW04-Regular"/>
          <w:b/>
          <w:color w:val="000000"/>
          <w:sz w:val="44"/>
          <w:szCs w:val="44"/>
        </w:rPr>
      </w:pPr>
    </w:p>
    <w:p w14:paraId="122B62AB">
      <w:pPr>
        <w:jc w:val="center"/>
        <w:rPr>
          <w:rFonts w:ascii="CamberW04-Regular" w:hAnsi="CamberW04-Regular" w:eastAsia="CamberW04-Regular" w:cs="CamberW04-Regular"/>
          <w:b/>
          <w:color w:val="000000"/>
          <w:sz w:val="44"/>
          <w:szCs w:val="44"/>
        </w:rPr>
      </w:pPr>
    </w:p>
    <w:p w14:paraId="10842700">
      <w:pPr>
        <w:jc w:val="center"/>
        <w:rPr>
          <w:rFonts w:ascii="CamberW04-Regular" w:hAnsi="CamberW04-Regular" w:eastAsia="CamberW04-Regular" w:cs="CamberW04-Regular"/>
          <w:b/>
          <w:color w:val="000000"/>
          <w:sz w:val="44"/>
          <w:szCs w:val="44"/>
        </w:rPr>
      </w:pPr>
    </w:p>
    <w:p w14:paraId="7434B078">
      <w:pPr>
        <w:jc w:val="center"/>
        <w:rPr>
          <w:rFonts w:ascii="CamberW04-Regular" w:hAnsi="CamberW04-Regular" w:eastAsia="CamberW04-Regular" w:cs="CamberW04-Regular"/>
          <w:b/>
          <w:color w:val="000000"/>
          <w:sz w:val="44"/>
          <w:szCs w:val="44"/>
        </w:rPr>
      </w:pPr>
    </w:p>
    <w:p w14:paraId="028C7C65">
      <w:pPr>
        <w:jc w:val="center"/>
        <w:rPr>
          <w:rFonts w:ascii="CamberW04-Regular" w:hAnsi="CamberW04-Regular" w:eastAsia="CamberW04-Regular" w:cs="CamberW04-Regular"/>
          <w:b/>
          <w:color w:val="000000"/>
          <w:sz w:val="44"/>
          <w:szCs w:val="44"/>
        </w:rPr>
      </w:pPr>
    </w:p>
    <w:p w14:paraId="50A54A9D">
      <w:pPr>
        <w:jc w:val="center"/>
        <w:rPr>
          <w:rFonts w:ascii="CamberW04-Regular" w:hAnsi="CamberW04-Regular" w:eastAsia="CamberW04-Regular" w:cs="CamberW04-Regular"/>
          <w:b/>
          <w:color w:val="000000"/>
          <w:sz w:val="44"/>
          <w:szCs w:val="44"/>
        </w:rPr>
      </w:pPr>
    </w:p>
    <w:p w14:paraId="70CE71D9">
      <w:pPr>
        <w:jc w:val="center"/>
        <w:rPr>
          <w:rFonts w:ascii="CamberW04-Regular" w:hAnsi="CamberW04-Regular" w:eastAsia="CamberW04-Regular" w:cs="CamberW04-Regular"/>
          <w:b/>
          <w:color w:val="000000"/>
          <w:sz w:val="44"/>
          <w:szCs w:val="44"/>
        </w:rPr>
      </w:pPr>
    </w:p>
    <w:p w14:paraId="077A2DC7">
      <w:pPr>
        <w:jc w:val="center"/>
        <w:rPr>
          <w:rFonts w:ascii="CamberW04-Regular" w:hAnsi="CamberW04-Regular" w:eastAsia="CamberW04-Regular" w:cs="CamberW04-Regular"/>
          <w:b/>
          <w:color w:val="000000"/>
          <w:sz w:val="44"/>
          <w:szCs w:val="44"/>
        </w:rPr>
      </w:pPr>
    </w:p>
    <w:p w14:paraId="6F641305">
      <w:pPr>
        <w:jc w:val="center"/>
        <w:rPr>
          <w:rFonts w:ascii="CamberW04-Regular" w:hAnsi="CamberW04-Regular" w:eastAsia="CamberW04-Regular" w:cs="CamberW04-Regular"/>
          <w:b/>
          <w:color w:val="000000"/>
          <w:sz w:val="44"/>
          <w:szCs w:val="44"/>
        </w:rPr>
      </w:pPr>
    </w:p>
    <w:p w14:paraId="7B4C1D69">
      <w:pPr>
        <w:jc w:val="center"/>
        <w:rPr>
          <w:rFonts w:ascii="CamberW04-Regular" w:hAnsi="CamberW04-Regular" w:eastAsia="CamberW04-Regular" w:cs="CamberW04-Regular"/>
          <w:b/>
          <w:color w:val="000000"/>
          <w:sz w:val="44"/>
          <w:szCs w:val="44"/>
        </w:rPr>
      </w:pPr>
    </w:p>
    <w:p w14:paraId="000000DB">
      <w:pPr>
        <w:rPr>
          <w:rFonts w:ascii="CamberW04-Regular" w:hAnsi="CamberW04-Regular" w:eastAsia="CamberW04-Regular" w:cs="CamberW04-Regular"/>
          <w:b/>
          <w:color w:val="000000"/>
          <w:sz w:val="44"/>
          <w:szCs w:val="44"/>
        </w:rPr>
      </w:pPr>
    </w:p>
    <w:p w14:paraId="69BE4810">
      <w:pPr>
        <w:pStyle w:val="2"/>
        <w:rPr>
          <w:rFonts w:eastAsia="CamberW04-Regular" w:cs="CamberW04-Regular"/>
          <w:color w:val="FFFFFF"/>
          <w:sz w:val="52"/>
          <w:szCs w:val="52"/>
        </w:rPr>
      </w:pPr>
    </w:p>
    <w:p w14:paraId="000000DF">
      <w:pPr>
        <w:pStyle w:val="2"/>
        <w:jc w:val="center"/>
        <w:rPr>
          <w:rFonts w:eastAsia="CamberW04-Regular" w:cs="CamberW04-Regular"/>
          <w:color w:val="FFFFFF"/>
          <w:sz w:val="52"/>
          <w:szCs w:val="52"/>
        </w:rPr>
      </w:pPr>
      <w:bookmarkStart w:id="16" w:name="_Toc154652318"/>
      <w:r>
        <mc:AlternateContent>
          <mc:Choice Requires="wps">
            <w:drawing>
              <wp:anchor distT="0" distB="0" distL="0" distR="0" simplePos="0" relativeHeight="251661312" behindDoc="1" locked="0" layoutInCell="1" allowOverlap="1">
                <wp:simplePos x="0" y="0"/>
                <wp:positionH relativeFrom="column">
                  <wp:posOffset>-1014095</wp:posOffset>
                </wp:positionH>
                <wp:positionV relativeFrom="page">
                  <wp:posOffset>-86360</wp:posOffset>
                </wp:positionV>
                <wp:extent cx="7686675" cy="10800715"/>
                <wp:effectExtent l="0" t="0" r="28575" b="19685"/>
                <wp:wrapNone/>
                <wp:docPr id="32" name="Dikdörtgen 32"/>
                <wp:cNvGraphicFramePr/>
                <a:graphic xmlns:a="http://schemas.openxmlformats.org/drawingml/2006/main">
                  <a:graphicData uri="http://schemas.microsoft.com/office/word/2010/wordprocessingShape">
                    <wps:wsp>
                      <wps:cNvSpPr/>
                      <wps:spPr>
                        <a:xfrm>
                          <a:off x="0" y="0"/>
                          <a:ext cx="7686675" cy="10800715"/>
                        </a:xfrm>
                        <a:prstGeom prst="rect">
                          <a:avLst/>
                        </a:prstGeom>
                        <a:solidFill>
                          <a:srgbClr val="2F5496"/>
                        </a:solidFill>
                        <a:ln w="12700" cap="flat" cmpd="sng">
                          <a:solidFill>
                            <a:srgbClr val="31538F"/>
                          </a:solidFill>
                          <a:prstDash val="solid"/>
                          <a:miter lim="800000"/>
                          <a:headEnd type="none" w="sm" len="sm"/>
                          <a:tailEnd type="none" w="sm" len="sm"/>
                        </a:ln>
                      </wps:spPr>
                      <wps:txbx>
                        <w:txbxContent>
                          <w:p w14:paraId="6B24D9FD"/>
                          <w:p w14:paraId="587F1D08"/>
                          <w:p w14:paraId="7C736FDB"/>
                          <w:p w14:paraId="23FBFFDE"/>
                          <w:p w14:paraId="2B468ED6"/>
                          <w:p w14:paraId="05C2BCDC"/>
                        </w:txbxContent>
                      </wps:txbx>
                      <wps:bodyPr spcFirstLastPara="1" wrap="square" lIns="91425" tIns="91425" rIns="91425" bIns="91425" anchor="ctr" anchorCtr="0">
                        <a:noAutofit/>
                      </wps:bodyPr>
                    </wps:wsp>
                  </a:graphicData>
                </a:graphic>
              </wp:anchor>
            </w:drawing>
          </mc:Choice>
          <mc:Fallback>
            <w:pict>
              <v:rect id="Dikdörtgen 32" o:spid="_x0000_s1026" o:spt="1" style="position:absolute;left:0pt;margin-left:-79.85pt;margin-top:-6.8pt;height:850.45pt;width:605.25pt;mso-position-vertical-relative:page;z-index:-251655168;v-text-anchor:middle;mso-width-relative:page;mso-height-relative:page;" fillcolor="#2F5496" filled="t" stroked="t" coordsize="21600,21600" o:gfxdata="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TJ30dkAAAAOAQAADwAAAAAA&#10;AAABACAAAAAiAAAAZHJzL2Rvd25yZXYueG1sUEsBAhQAFAAAAAgAh07iQJ73br9LAgAAvAQAAA4A&#10;AAAAAAAAAQAgAAAAKAEAAGRycy9lMm9Eb2MueG1sUEsFBgAAAAAGAAYAWQEAAOUFAAAAAA==&#10;">
                <v:fill on="t" focussize="0,0"/>
                <v:stroke weight="1pt" color="#31538F" miterlimit="8" joinstyle="miter" startarrowwidth="narrow" startarrowlength="short" endarrowwidth="narrow" endarrowlength="short"/>
                <v:imagedata o:title=""/>
                <o:lock v:ext="edit" aspectratio="f"/>
                <v:textbox inset="7.1988188976378pt,7.1988188976378pt,7.1988188976378pt,7.1988188976378pt">
                  <w:txbxContent>
                    <w:p w14:paraId="6B24D9FD"/>
                    <w:p w14:paraId="587F1D08"/>
                    <w:p w14:paraId="7C736FDB"/>
                    <w:p w14:paraId="23FBFFDE"/>
                    <w:p w14:paraId="2B468ED6"/>
                    <w:p w14:paraId="05C2BCDC"/>
                  </w:txbxContent>
                </v:textbox>
              </v:rect>
            </w:pict>
          </mc:Fallback>
        </mc:AlternateContent>
      </w:r>
      <w:r>
        <w:rPr>
          <w:rFonts w:eastAsia="CamberW04-Regular" w:cs="CamberW04-Regular"/>
          <w:color w:val="FFFFFF"/>
          <w:sz w:val="52"/>
          <w:szCs w:val="52"/>
        </w:rPr>
        <w:t>EK.3 YÖKAK</w:t>
      </w:r>
      <w:bookmarkStart w:id="17" w:name="_heading=h.z337ya" w:colFirst="0" w:colLast="0"/>
      <w:bookmarkEnd w:id="17"/>
      <w:r>
        <w:rPr>
          <w:rFonts w:eastAsia="CamberW04-Regular" w:cs="CamberW04-Regular"/>
          <w:color w:val="FFFFFF"/>
          <w:sz w:val="52"/>
          <w:szCs w:val="52"/>
        </w:rPr>
        <w:t xml:space="preserve"> DERECELİ DEĞERLENDİRME ANAHTARI</w:t>
      </w:r>
      <w:bookmarkEnd w:id="16"/>
    </w:p>
    <w:p w14:paraId="2D603086">
      <w:pPr>
        <w:pStyle w:val="2"/>
        <w:jc w:val="center"/>
        <w:rPr>
          <w:rFonts w:eastAsia="CamberW04-Regular" w:cs="CamberW04-Regular"/>
          <w:color w:val="FFFFFF"/>
          <w:sz w:val="52"/>
          <w:szCs w:val="52"/>
        </w:rPr>
      </w:pPr>
    </w:p>
    <w:p w14:paraId="08BACD8B">
      <w:pPr>
        <w:pStyle w:val="2"/>
        <w:spacing w:line="360" w:lineRule="auto"/>
        <w:rPr>
          <w:rFonts w:eastAsia="CamberW04-Regular" w:cs="CamberW04-Regular"/>
          <w:color w:val="FFFFFF" w:themeColor="background1"/>
          <w:sz w:val="52"/>
          <w:szCs w:val="52"/>
          <w14:textFill>
            <w14:solidFill>
              <w14:schemeClr w14:val="bg1"/>
            </w14:solidFill>
          </w14:textFill>
        </w:rPr>
      </w:pPr>
    </w:p>
    <w:p w14:paraId="31C2D362">
      <w:pPr>
        <w:pStyle w:val="2"/>
        <w:spacing w:line="360" w:lineRule="auto"/>
        <w:rPr>
          <w:rFonts w:ascii="Times New Roman" w:hAnsi="Times New Roman" w:cs="Times New Roman"/>
          <w:color w:val="auto"/>
          <w:sz w:val="22"/>
          <w:szCs w:val="22"/>
        </w:rPr>
      </w:pPr>
    </w:p>
    <w:p w14:paraId="6A7CA31B">
      <w:pPr>
        <w:pStyle w:val="2"/>
        <w:spacing w:line="360" w:lineRule="auto"/>
        <w:rPr>
          <w:rFonts w:ascii="Times New Roman" w:hAnsi="Times New Roman" w:cs="Times New Roman"/>
          <w:color w:val="auto"/>
          <w:sz w:val="22"/>
          <w:szCs w:val="22"/>
        </w:rPr>
      </w:pPr>
    </w:p>
    <w:p w14:paraId="13FD8746">
      <w:pPr>
        <w:pStyle w:val="2"/>
        <w:spacing w:line="360" w:lineRule="auto"/>
        <w:rPr>
          <w:rFonts w:ascii="Times New Roman" w:hAnsi="Times New Roman" w:cs="Times New Roman"/>
          <w:color w:val="auto"/>
          <w:sz w:val="22"/>
          <w:szCs w:val="22"/>
        </w:rPr>
      </w:pPr>
    </w:p>
    <w:p w14:paraId="7C0CBB6F">
      <w:pPr>
        <w:pStyle w:val="2"/>
        <w:spacing w:line="360" w:lineRule="auto"/>
        <w:rPr>
          <w:rFonts w:ascii="Times New Roman" w:hAnsi="Times New Roman" w:cs="Times New Roman"/>
          <w:color w:val="auto"/>
          <w:sz w:val="40"/>
          <w:szCs w:val="40"/>
        </w:rPr>
      </w:pPr>
    </w:p>
    <w:p w14:paraId="31422F94">
      <w:pPr>
        <w:pStyle w:val="2"/>
        <w:spacing w:line="360" w:lineRule="auto"/>
        <w:jc w:val="center"/>
        <w:rPr>
          <w:rFonts w:ascii="Times New Roman" w:hAnsi="Times New Roman" w:cs="Times New Roman"/>
          <w:color w:val="auto"/>
          <w:sz w:val="40"/>
          <w:szCs w:val="40"/>
        </w:rPr>
      </w:pPr>
    </w:p>
    <w:p w14:paraId="6860205E">
      <w:pPr>
        <w:pStyle w:val="2"/>
        <w:spacing w:line="360" w:lineRule="auto"/>
        <w:jc w:val="center"/>
        <w:rPr>
          <w:rFonts w:ascii="Times New Roman" w:hAnsi="Times New Roman" w:cs="Times New Roman"/>
          <w:color w:val="auto"/>
          <w:sz w:val="40"/>
          <w:szCs w:val="40"/>
        </w:rPr>
      </w:pPr>
    </w:p>
    <w:p w14:paraId="01E39B24">
      <w:pPr>
        <w:pStyle w:val="2"/>
        <w:spacing w:line="360" w:lineRule="auto"/>
        <w:jc w:val="center"/>
        <w:rPr>
          <w:rFonts w:ascii="Times New Roman" w:hAnsi="Times New Roman" w:cs="Times New Roman"/>
          <w:color w:val="auto"/>
          <w:sz w:val="40"/>
          <w:szCs w:val="40"/>
        </w:rPr>
      </w:pPr>
    </w:p>
    <w:p w14:paraId="58F7AA08">
      <w:pPr>
        <w:pStyle w:val="2"/>
        <w:spacing w:line="360" w:lineRule="auto"/>
        <w:jc w:val="center"/>
        <w:rPr>
          <w:rFonts w:ascii="Times New Roman" w:hAnsi="Times New Roman" w:cs="Times New Roman"/>
          <w:color w:val="auto"/>
          <w:sz w:val="40"/>
          <w:szCs w:val="40"/>
        </w:rPr>
      </w:pPr>
    </w:p>
    <w:p w14:paraId="76CCD175">
      <w:pPr>
        <w:pStyle w:val="2"/>
        <w:spacing w:line="360" w:lineRule="auto"/>
        <w:jc w:val="center"/>
        <w:rPr>
          <w:rFonts w:ascii="Times New Roman" w:hAnsi="Times New Roman" w:cs="Times New Roman"/>
          <w:color w:val="auto"/>
          <w:sz w:val="40"/>
          <w:szCs w:val="40"/>
        </w:rPr>
      </w:pPr>
    </w:p>
    <w:p w14:paraId="1198AA6E">
      <w:pPr>
        <w:pStyle w:val="2"/>
        <w:spacing w:line="360" w:lineRule="auto"/>
        <w:jc w:val="center"/>
        <w:rPr>
          <w:rFonts w:ascii="Times New Roman" w:hAnsi="Times New Roman" w:cs="Times New Roman"/>
          <w:color w:val="auto"/>
          <w:sz w:val="40"/>
          <w:szCs w:val="40"/>
        </w:rPr>
      </w:pPr>
    </w:p>
    <w:p w14:paraId="3B4741D4">
      <w:pPr>
        <w:pStyle w:val="2"/>
        <w:spacing w:line="360" w:lineRule="auto"/>
        <w:jc w:val="center"/>
        <w:rPr>
          <w:rFonts w:ascii="Times New Roman" w:hAnsi="Times New Roman" w:cs="Times New Roman"/>
          <w:color w:val="auto"/>
          <w:sz w:val="40"/>
          <w:szCs w:val="40"/>
        </w:rPr>
      </w:pPr>
    </w:p>
    <w:p w14:paraId="35687202">
      <w:pPr>
        <w:pStyle w:val="2"/>
        <w:spacing w:line="360" w:lineRule="auto"/>
        <w:jc w:val="center"/>
        <w:rPr>
          <w:rFonts w:ascii="Times New Roman" w:hAnsi="Times New Roman" w:cs="Times New Roman"/>
          <w:color w:val="auto"/>
          <w:sz w:val="44"/>
          <w:szCs w:val="44"/>
        </w:rPr>
      </w:pPr>
      <w:r>
        <w:rPr>
          <w:rFonts w:ascii="Times New Roman" w:hAnsi="Times New Roman" w:cs="Times New Roman"/>
          <w:color w:val="auto"/>
          <w:sz w:val="40"/>
          <w:szCs w:val="40"/>
        </w:rPr>
        <w:t>KAHRAMANMARAŞ SÜTÇÜ İMAM ÜNİVERSİTESİ SAĞLIK BİLİMLERİ FAKÜLTESİ</w:t>
      </w:r>
    </w:p>
    <w:p w14:paraId="4850F97E">
      <w:pPr>
        <w:pStyle w:val="2"/>
        <w:spacing w:line="360" w:lineRule="auto"/>
        <w:jc w:val="center"/>
        <w:rPr>
          <w:rFonts w:ascii="Times New Roman" w:hAnsi="Times New Roman" w:cs="Times New Roman"/>
          <w:color w:val="auto"/>
          <w:sz w:val="44"/>
          <w:szCs w:val="44"/>
        </w:rPr>
      </w:pPr>
      <w:r>
        <w:rPr>
          <w:rFonts w:ascii="Times New Roman" w:hAnsi="Times New Roman" w:cs="Times New Roman"/>
          <w:color w:val="auto"/>
          <w:sz w:val="40"/>
          <w:szCs w:val="40"/>
        </w:rPr>
        <w:t>KURUM İÇ DEĞERLENDİRME RAPORU (2025)</w:t>
      </w:r>
    </w:p>
    <w:p w14:paraId="7F087F3E">
      <w:pPr>
        <w:pStyle w:val="2"/>
        <w:spacing w:line="360" w:lineRule="auto"/>
        <w:jc w:val="center"/>
        <w:rPr>
          <w:rFonts w:ascii="Times New Roman" w:hAnsi="Times New Roman" w:cs="Times New Roman"/>
          <w:color w:val="auto"/>
          <w:sz w:val="22"/>
          <w:szCs w:val="22"/>
        </w:rPr>
      </w:pPr>
    </w:p>
    <w:p w14:paraId="282ED2EE">
      <w:pPr>
        <w:pStyle w:val="2"/>
        <w:spacing w:line="360" w:lineRule="auto"/>
        <w:jc w:val="center"/>
        <w:rPr>
          <w:rFonts w:ascii="Times New Roman" w:hAnsi="Times New Roman" w:cs="Times New Roman"/>
          <w:color w:val="auto"/>
          <w:sz w:val="22"/>
          <w:szCs w:val="22"/>
        </w:rPr>
      </w:pPr>
    </w:p>
    <w:p w14:paraId="23DD88CA">
      <w:pPr>
        <w:pStyle w:val="2"/>
        <w:spacing w:line="360" w:lineRule="auto"/>
        <w:jc w:val="center"/>
        <w:rPr>
          <w:rFonts w:ascii="Times New Roman" w:hAnsi="Times New Roman" w:cs="Times New Roman"/>
          <w:color w:val="auto"/>
          <w:sz w:val="22"/>
          <w:szCs w:val="22"/>
        </w:rPr>
      </w:pPr>
    </w:p>
    <w:p w14:paraId="7F645DE5">
      <w:pPr>
        <w:pStyle w:val="2"/>
        <w:spacing w:line="360" w:lineRule="auto"/>
        <w:rPr>
          <w:rFonts w:ascii="Times New Roman" w:hAnsi="Times New Roman" w:cs="Times New Roman"/>
          <w:color w:val="auto"/>
          <w:sz w:val="22"/>
          <w:szCs w:val="22"/>
        </w:rPr>
      </w:pPr>
    </w:p>
    <w:p w14:paraId="41414136">
      <w:pPr>
        <w:pStyle w:val="2"/>
        <w:spacing w:line="360" w:lineRule="auto"/>
        <w:rPr>
          <w:rFonts w:ascii="Times New Roman" w:hAnsi="Times New Roman" w:cs="Times New Roman"/>
          <w:color w:val="auto"/>
          <w:sz w:val="22"/>
          <w:szCs w:val="22"/>
        </w:rPr>
      </w:pPr>
    </w:p>
    <w:p w14:paraId="4D9345BB">
      <w:pPr>
        <w:pStyle w:val="2"/>
        <w:spacing w:line="360" w:lineRule="auto"/>
        <w:rPr>
          <w:rFonts w:ascii="Times New Roman" w:hAnsi="Times New Roman" w:cs="Times New Roman"/>
          <w:color w:val="auto"/>
          <w:sz w:val="22"/>
          <w:szCs w:val="22"/>
        </w:rPr>
      </w:pPr>
    </w:p>
    <w:p w14:paraId="4B1E76CC">
      <w:pPr>
        <w:pStyle w:val="2"/>
        <w:spacing w:line="360" w:lineRule="auto"/>
        <w:rPr>
          <w:rFonts w:ascii="Times New Roman" w:hAnsi="Times New Roman" w:cs="Times New Roman"/>
          <w:color w:val="auto"/>
          <w:sz w:val="22"/>
          <w:szCs w:val="22"/>
        </w:rPr>
      </w:pPr>
    </w:p>
    <w:p w14:paraId="0C0DB2EA">
      <w:pPr>
        <w:pStyle w:val="2"/>
        <w:spacing w:line="360" w:lineRule="auto"/>
        <w:rPr>
          <w:rFonts w:ascii="Times New Roman" w:hAnsi="Times New Roman" w:cs="Times New Roman"/>
          <w:color w:val="auto"/>
          <w:sz w:val="22"/>
          <w:szCs w:val="22"/>
        </w:rPr>
      </w:pPr>
    </w:p>
    <w:p w14:paraId="5A0CA7EE">
      <w:pPr>
        <w:pStyle w:val="2"/>
        <w:spacing w:line="360" w:lineRule="auto"/>
        <w:rPr>
          <w:rFonts w:ascii="Times New Roman" w:hAnsi="Times New Roman" w:cs="Times New Roman"/>
          <w:color w:val="auto"/>
          <w:sz w:val="22"/>
          <w:szCs w:val="22"/>
        </w:rPr>
      </w:pPr>
    </w:p>
    <w:p w14:paraId="773F49D0">
      <w:pPr>
        <w:pStyle w:val="2"/>
        <w:spacing w:line="360" w:lineRule="auto"/>
        <w:rPr>
          <w:rFonts w:ascii="Times New Roman" w:hAnsi="Times New Roman" w:cs="Times New Roman"/>
          <w:color w:val="auto"/>
          <w:sz w:val="22"/>
          <w:szCs w:val="22"/>
        </w:rPr>
      </w:pPr>
    </w:p>
    <w:p w14:paraId="2C3DC354">
      <w:pPr>
        <w:pStyle w:val="2"/>
        <w:spacing w:line="360" w:lineRule="auto"/>
        <w:rPr>
          <w:rFonts w:ascii="Times New Roman" w:hAnsi="Times New Roman" w:cs="Times New Roman"/>
          <w:color w:val="auto"/>
          <w:sz w:val="22"/>
          <w:szCs w:val="22"/>
        </w:rPr>
      </w:pPr>
    </w:p>
    <w:p w14:paraId="0CB516E2">
      <w:pPr>
        <w:pStyle w:val="2"/>
        <w:spacing w:line="360" w:lineRule="auto"/>
        <w:rPr>
          <w:rFonts w:ascii="Times New Roman" w:hAnsi="Times New Roman" w:cs="Times New Roman"/>
          <w:color w:val="auto"/>
          <w:sz w:val="22"/>
          <w:szCs w:val="22"/>
        </w:rPr>
      </w:pPr>
    </w:p>
    <w:p w14:paraId="230ACBB6">
      <w:pPr>
        <w:pStyle w:val="2"/>
        <w:spacing w:line="360" w:lineRule="auto"/>
        <w:rPr>
          <w:rFonts w:ascii="Times New Roman" w:hAnsi="Times New Roman" w:cs="Times New Roman"/>
          <w:color w:val="auto"/>
          <w:sz w:val="22"/>
          <w:szCs w:val="22"/>
        </w:rPr>
      </w:pPr>
    </w:p>
    <w:p w14:paraId="07857A6A">
      <w:pPr>
        <w:pStyle w:val="2"/>
        <w:spacing w:line="360" w:lineRule="auto"/>
        <w:rPr>
          <w:rFonts w:ascii="Times New Roman" w:hAnsi="Times New Roman" w:cs="Times New Roman"/>
          <w:color w:val="auto"/>
          <w:sz w:val="22"/>
          <w:szCs w:val="22"/>
        </w:rPr>
      </w:pPr>
    </w:p>
    <w:p w14:paraId="584EBF74">
      <w:pPr>
        <w:pStyle w:val="2"/>
        <w:spacing w:line="360" w:lineRule="auto"/>
        <w:rPr>
          <w:rFonts w:ascii="Times New Roman" w:hAnsi="Times New Roman" w:cs="Times New Roman"/>
          <w:color w:val="auto"/>
          <w:sz w:val="22"/>
          <w:szCs w:val="22"/>
        </w:rPr>
      </w:pPr>
    </w:p>
    <w:p w14:paraId="3A2148C6">
      <w:pPr>
        <w:pStyle w:val="2"/>
        <w:spacing w:line="360" w:lineRule="auto"/>
        <w:rPr>
          <w:rFonts w:ascii="Times New Roman" w:hAnsi="Times New Roman" w:cs="Times New Roman"/>
          <w:color w:val="auto"/>
          <w:sz w:val="22"/>
          <w:szCs w:val="22"/>
        </w:rPr>
      </w:pPr>
    </w:p>
    <w:p w14:paraId="326ED6F5">
      <w:pPr>
        <w:pStyle w:val="2"/>
        <w:spacing w:line="360" w:lineRule="auto"/>
        <w:rPr>
          <w:rFonts w:ascii="Times New Roman" w:hAnsi="Times New Roman" w:cs="Times New Roman"/>
          <w:color w:val="auto"/>
          <w:sz w:val="22"/>
          <w:szCs w:val="22"/>
        </w:rPr>
      </w:pPr>
    </w:p>
    <w:p w14:paraId="5C6829A8">
      <w:pPr>
        <w:pStyle w:val="2"/>
        <w:spacing w:line="360" w:lineRule="auto"/>
        <w:rPr>
          <w:rFonts w:ascii="Times New Roman" w:hAnsi="Times New Roman" w:cs="Times New Roman"/>
          <w:color w:val="auto"/>
          <w:sz w:val="22"/>
          <w:szCs w:val="22"/>
        </w:rPr>
      </w:pPr>
    </w:p>
    <w:p w14:paraId="779BEBC8">
      <w:pPr>
        <w:pStyle w:val="2"/>
        <w:spacing w:line="360" w:lineRule="auto"/>
        <w:rPr>
          <w:rFonts w:ascii="Times New Roman" w:hAnsi="Times New Roman" w:cs="Times New Roman"/>
          <w:color w:val="auto"/>
          <w:sz w:val="22"/>
          <w:szCs w:val="22"/>
        </w:rPr>
      </w:pPr>
    </w:p>
    <w:p w14:paraId="0D71DFC4">
      <w:pPr>
        <w:pStyle w:val="2"/>
        <w:spacing w:line="360" w:lineRule="auto"/>
        <w:rPr>
          <w:rFonts w:ascii="Times New Roman" w:hAnsi="Times New Roman" w:cs="Times New Roman"/>
          <w:color w:val="auto"/>
          <w:sz w:val="22"/>
          <w:szCs w:val="22"/>
        </w:rPr>
      </w:pPr>
    </w:p>
    <w:p w14:paraId="4FCA77BE">
      <w:pPr>
        <w:pStyle w:val="2"/>
        <w:spacing w:line="360" w:lineRule="auto"/>
        <w:rPr>
          <w:rFonts w:ascii="Times New Roman" w:hAnsi="Times New Roman" w:cs="Times New Roman"/>
          <w:color w:val="auto"/>
          <w:sz w:val="22"/>
          <w:szCs w:val="22"/>
        </w:rPr>
      </w:pPr>
    </w:p>
    <w:p w14:paraId="43DE39D2">
      <w:pPr>
        <w:pStyle w:val="2"/>
        <w:spacing w:line="360" w:lineRule="auto"/>
        <w:rPr>
          <w:rFonts w:ascii="Times New Roman" w:hAnsi="Times New Roman" w:cs="Times New Roman"/>
          <w:color w:val="auto"/>
          <w:sz w:val="22"/>
          <w:szCs w:val="22"/>
        </w:rPr>
      </w:pPr>
    </w:p>
    <w:p w14:paraId="0030591B">
      <w:pPr>
        <w:pStyle w:val="2"/>
        <w:spacing w:line="360" w:lineRule="auto"/>
        <w:rPr>
          <w:rFonts w:ascii="Times New Roman" w:hAnsi="Times New Roman" w:cs="Times New Roman"/>
          <w:color w:val="FF0000"/>
          <w:sz w:val="28"/>
          <w:szCs w:val="22"/>
        </w:rPr>
      </w:pPr>
      <w:r>
        <w:rPr>
          <w:rFonts w:ascii="Times New Roman" w:hAnsi="Times New Roman" w:cs="Times New Roman"/>
          <w:color w:val="FF0000"/>
          <w:sz w:val="28"/>
          <w:szCs w:val="22"/>
        </w:rPr>
        <w:t>A.Yönetim, Yönetişim ve Liderlik</w:t>
      </w:r>
    </w:p>
    <w:p w14:paraId="2E40B58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A.1.1. Yönetişim modeli ve idari yapı </w:t>
      </w:r>
    </w:p>
    <w:p w14:paraId="15193BE1">
      <w:pPr>
        <w:pStyle w:val="2"/>
        <w:spacing w:line="360" w:lineRule="auto"/>
        <w:rPr>
          <w:rFonts w:hint="default" w:ascii="Times New Roman" w:hAnsi="Times New Roman" w:cs="Times New Roman"/>
          <w:b w:val="0"/>
          <w:bCs w:val="0"/>
          <w:color w:val="auto"/>
          <w:sz w:val="24"/>
          <w:szCs w:val="24"/>
          <w:lang w:val="tr-TR"/>
        </w:rPr>
      </w:pPr>
      <w:r>
        <w:rPr>
          <w:rFonts w:ascii="Times New Roman" w:hAnsi="Times New Roman" w:cs="Times New Roman"/>
          <w:b w:val="0"/>
          <w:bCs w:val="0"/>
          <w:color w:val="auto"/>
          <w:sz w:val="24"/>
          <w:szCs w:val="24"/>
        </w:rPr>
        <w:t>KSÜ Sağlık Bilimleri Fakültesi’nin organizasyon şeması bulunmakta ve organizasyon şemasında yönetişim modeli belirtilmektedir. Hiyerarşik yönetim (dikey yönetim modeli) benimsenmiştir</w:t>
      </w:r>
      <w:r>
        <w:rPr>
          <w:rFonts w:ascii="Times New Roman" w:hAnsi="Times New Roman" w:cs="Times New Roman"/>
          <w:b w:val="0"/>
          <w:bCs w:val="0"/>
          <w:color w:val="4472C4" w:themeColor="accent1"/>
          <w:sz w:val="24"/>
          <w:szCs w:val="24"/>
          <w14:textFill>
            <w14:solidFill>
              <w14:schemeClr w14:val="accent1"/>
            </w14:solidFill>
          </w14:textFill>
        </w:rPr>
        <w:t xml:space="preserve"> </w:t>
      </w:r>
      <w:r>
        <w:fldChar w:fldCharType="begin"/>
      </w:r>
      <w:r>
        <w:instrText xml:space="preserve"> HYPERLINK "https://saglik.ksu.edu.tr/Default.aspx?SId=16601"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xml:space="preserve">. Fakülte bünyesinde aktif üç bölüm, pasif üç bölüm olmak üzere toplam 6 bölüm bulunmaktadır </w:t>
      </w:r>
      <w:r>
        <w:fldChar w:fldCharType="begin"/>
      </w:r>
      <w:r>
        <w:instrText xml:space="preserve"> HYPERLINK "https://saglik.ksu.edu.tr/Default.aspx?SId=7790"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SBF’de idari ve akademik işlerin sağlıklı ve sorunsuz yönetilmesi için birimde görev yapan herbir personelin görev tanımı 2024 yılında Birim Kalite Komisyonu çalışmaları ve dekanlık onayı ile güncellenmiştir</w:t>
      </w:r>
      <w:r>
        <w:fldChar w:fldCharType="begin"/>
      </w:r>
      <w:r>
        <w:instrText xml:space="preserve"> HYPERLINK "https://saglik.ksu.edu.tr/Default.aspx?SId=21816" </w:instrText>
      </w:r>
      <w:r>
        <w:fldChar w:fldCharType="separate"/>
      </w:r>
      <w:r>
        <w:rPr>
          <w:rStyle w:val="20"/>
          <w:rFonts w:ascii="Times New Roman" w:hAnsi="Times New Roman" w:cs="Times New Roman"/>
          <w:b w:val="0"/>
          <w:bCs w:val="0"/>
          <w:color w:val="auto"/>
          <w:sz w:val="24"/>
          <w:szCs w:val="24"/>
        </w:rPr>
        <w:t xml:space="preserve"> </w:t>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xml:space="preserve">. Ayrıca 29.09. 2025 yılında fakültemizde Dekan değişikliği olmuştur </w:t>
      </w:r>
      <w:r>
        <w:fldChar w:fldCharType="begin"/>
      </w:r>
      <w:r>
        <w:instrText xml:space="preserve"> HYPERLINK "https://www.ksu.edu.tr/default.aspx?DId=99679" \l ":~:text=Kahramanmara%C5%9F%20S%C3%BCt%C3%A7%C3%BC%20%C4%B0mam%20%C3%9Cniversitesi%20Sa%C4%9Fl%C4%B1k,%C4%B0smail%20G%C3%BCrkan%20%C3%87%C4%B1k%C4%B1m%20atand%C4%B1"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Fakültede 2025 yılında iki Dekan Yardımcısı atanmıştır</w:t>
      </w:r>
    </w:p>
    <w:p w14:paraId="2F3B6833">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2024 yılında dekan yardımcılığı görev tanımında değişiklik yapılmıştır. İdari yapılan iyileştirme çalışmaları kapsamında dekan yardımcılığı görev tanımı idari ve akademik görevler (eğitim-öğretim) olmak üzere ikiye ayrılmıştır </w:t>
      </w:r>
      <w:r>
        <w:fldChar w:fldCharType="begin"/>
      </w:r>
      <w:r>
        <w:instrText xml:space="preserve"> HYPERLINK "https://saglik.ksu.edu.tr/Default.aspx?SId=21816"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Böylece birimde bir dekan yardımcısı idari süreçlerinin koordinasyonunda diğeri akademik işlerin koordinasyonunda görevlendirilmiştir. Birimde 2025 yılı içerisinde fakültemizde ve bölümümüzde komisyonlar güncellenmiştir (</w:t>
      </w:r>
      <w:r>
        <w:fldChar w:fldCharType="begin"/>
      </w:r>
      <w:r>
        <w:instrText xml:space="preserve"> HYPERLINK "https://saglik.ksu.edu.tr/Default.aspx?SId=31119"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"https://sbfftr.ksu.edu.tr/depo/belgeler/FTR%20Komisyon%20Uyelikleri_2601151603247078.pdf"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2025 yılı içerisinde fakültemizde komisyonların görev tanımları ve iş-akış şemaları belirlenerek birim anasayfasında paylaşılmıştır </w:t>
      </w:r>
      <w:r>
        <w:fldChar w:fldCharType="begin"/>
      </w:r>
      <w:r>
        <w:instrText xml:space="preserve"> HYPERLINK "https://sbfhemsirelik.ksu.edu.tr/Default.aspx?SId=32651"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335DF14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345BF78B">
      <w:pPr>
        <w:pStyle w:val="2"/>
        <w:spacing w:line="360" w:lineRule="auto"/>
        <w:rPr>
          <w:rFonts w:ascii="Times New Roman" w:hAnsi="Times New Roman" w:cs="Times New Roman"/>
          <w:b w:val="0"/>
          <w:bCs w:val="0"/>
          <w:color w:val="auto"/>
          <w:sz w:val="22"/>
          <w:szCs w:val="22"/>
          <w:highlight w:val="yellow"/>
        </w:rPr>
      </w:pPr>
      <w:r>
        <w:rPr>
          <w:rFonts w:ascii="Times New Roman" w:hAnsi="Times New Roman" w:cs="Times New Roman"/>
          <w:b w:val="0"/>
          <w:bCs w:val="0"/>
          <w:color w:val="auto"/>
          <w:sz w:val="22"/>
          <w:szCs w:val="22"/>
        </w:rPr>
        <w:t>KSÜ sağlık Bilimleri Fakültesi Hemşirelik bölümünün organizasyon şeması bulunmakta ve oganizasyon şemasında yönetişim modeli belirtilmektedir. Hiyerarjik yönetim (dikey yönetim modeli) benimsenmiştir. Kahramanmaraş Sütçü İmam Üniversitesi Sağlık Bilimleri Fakültesi Hemşirelik Bölümü'nün organizasyon şeması, akademik ve idari işleyişin sistematik bir hiyerarşi içinde yürütüldüğünü açıkça göstermektedir. Yapının en üst noktasında Bölüm Başkanlığı yer alırken, bu makama bağlı olarak akademik süreçlerin uzmanlık alanlarına göre özelleştiği Anabilim Dalı Başkanlıkları (İç Hastalıkları, Cerrahi, Doğum-Kadın Sağlığı, Çocuk Sağlığı vb.) konumlanmıştır. Ayrıca, eğitim kalitesinin sürdürülebilirliğini sağlamak amacıyla oluşturulan Bölüm Akademik Kurulu ve çeşitli Komisyonlar (Eğitim-öğretim, Staj, Kalite vb.), idari ve akademik karar alma süreçlerinde katılımcı bir model sunmaktadır. Bu şema, hem öğrencilerin hem de personelin görev ve sorumluluk alanlarını netleştirerek, kurumun kurumsal kimliğine ve eğitim hedeflerine uygun, koordineli bir çalışma ortamı sağlamayı amaçlamaktadır (</w:t>
      </w:r>
      <w:r>
        <w:fldChar w:fldCharType="begin"/>
      </w:r>
      <w:r>
        <w:instrText xml:space="preserve"> HYPERLINK "https://sbfhemsirelik.ksu.edu.tr/Default.aspx?SId=31075"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Akreditasyon çalışmaları kapsamında bölümde bölüm başkanlığı, öğretim görevliliği vb. Görev tanımlarında güncelleme yapılmıştır (</w:t>
      </w:r>
      <w:r>
        <w:fldChar w:fldCharType="begin"/>
      </w:r>
      <w:r>
        <w:instrText xml:space="preserve"> HYPERLINK "https://drive.google.com/file/d/17NccJE37kip3eSjWU0c9p0_AWyzlMw3n/view?usp=sharing"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Hemşirelik Bölümü öğretim üyelerinden birinin Fakülte Dekan Yardımcılığı görevini üstlenmesi, bölüm ile fakülte yönetimi arasındaki eşgüdümü ve kurumsal temsili güçlendirmektedir (</w:t>
      </w:r>
      <w:r>
        <w:fldChar w:fldCharType="begin"/>
      </w:r>
      <w:r>
        <w:instrText xml:space="preserve"> HYPERLINK "https://saglik.ksu.edu.tr/Default.aspx?SId=16601"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r>
        <w:fldChar w:fldCharType="begin"/>
      </w:r>
      <w:r>
        <w:instrText xml:space="preserve"> HYPERLINK "https://drive.google.com/file/d/1Qn7CzhOY7dalTcfUHrdFLPz6WwUeiRif/view?usp=sharing"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2025 yılında bölüm başkanı ve bölüm başkan yardımcısı ataması yapılmıştır (</w:t>
      </w:r>
      <w:r>
        <w:fldChar w:fldCharType="begin"/>
      </w:r>
      <w:r>
        <w:instrText xml:space="preserve"> HYPERLINK "https://drive.google.com/file/d/1coAqxCFw7r6mNrLFvHLjsdMaKNeMrmSE/view?usp=sharing"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r>
        <w:fldChar w:fldCharType="begin"/>
      </w:r>
      <w:r>
        <w:instrText xml:space="preserve"> HYPERLINK "https://drive.google.com/file/d/17xlO4hB8NtFyJJ5CJn03Z2Gl2X4lX0K4/view?usp=sharing"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2025 yılı içerisinde gerçekleştirilen yönetsel reformlar kapsamında, mevcut komisyonların teşkilat yapısında revizyona gidilmiş (</w:t>
      </w:r>
      <w:r>
        <w:fldChar w:fldCharType="begin"/>
      </w:r>
      <w:r>
        <w:instrText xml:space="preserve"> HYPERLINK "https://drive.google.com/file/d/1TeJ--USb3o_H6Wwr622H3sxESbAUjMGA/view?usp=sharing"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buna ek olarak, çağdaş eğitim gereksinimleri doğrultusunda “Risk Önleme ve Yönetimi Komisyonu” (</w:t>
      </w:r>
      <w:r>
        <w:fldChar w:fldCharType="begin"/>
      </w:r>
      <w:r>
        <w:instrText xml:space="preserve"> HYPERLINK "https://sbfhemsirelik.ksu.edu.tr/Default.aspx?SId=33764"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ile “Akran Yönderliği Komisyonu” (</w:t>
      </w:r>
      <w:r>
        <w:fldChar w:fldCharType="begin"/>
      </w:r>
      <w:r>
        <w:instrText xml:space="preserve"> HYPERLINK "https://sbfhemsirelik.ksu.edu.tr/Default.aspx?SId=33764"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ihdas edilerek kurumsal portföye dahil edilmiştir. Söz konusu komisyonların üye kompozisyonları, görev tanımları ve operasyonel iş akış şemaları, hesap verebilirlik ve şeffaflık ilkeleri uyarınca standardize edilerek tüm paydaşların erişimine sunulmuştur. Bu yapısal dönüşüm, anabilim dallarının akademik çıktılarını denetlenebilir yönetim mekanizmalarıyla desteklemekte ve eğitim kalitesinin sürdürülebilir gelişimini stratejik bir öncelik haline getirmektedir. Ayrıca 2025 “Risk Önleme Ve Yönetimi Komisyonu” ile “Akran Yönderliği Komisyonu” oluşturulmuştur. Her iki komisyonun “komisyon üyeleri, görev tanımı, iş akış şemaları” belirlenerek paydaşlar ile web sayfasında paylaşılmıştır. 2025 yılı içerisinde operasyonel sürece dahil olan her iki komisyon, faaliyetlerini belirlenen iş akış şemaları doğrultusunda titizlikle yürütmüş; tüm uygulama çıktılarını kurumsal performans standartlarına uygun şekilde raporlaştırarak kayıt altına almıştır (</w:t>
      </w:r>
      <w:r>
        <w:fldChar w:fldCharType="begin"/>
      </w:r>
      <w:r>
        <w:instrText xml:space="preserve"> HYPERLINK "https://drive.google.com/file/d/1UzdEdlJDZrIzneXb_A4gryvuj1EfdzU8/view?usp=sharing"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r>
        <w:fldChar w:fldCharType="begin"/>
      </w:r>
      <w:r>
        <w:instrText xml:space="preserve"> HYPERLINK "https://drive.google.com/file/d/1MFGKN2xWcPUw7dH3fke7WvfbQUy9TTyP/view?usp=sharing"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r>
        <w:fldChar w:fldCharType="begin"/>
      </w:r>
      <w:r>
        <w:instrText xml:space="preserve"> HYPERLINK "https://drive.google.com/file/d/1qQJL6uATP1Nbja72XUFRfXWLFHvXbNun/view?usp=sharing"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p>
    <w:p w14:paraId="391546A9">
      <w:pPr>
        <w:pStyle w:val="2"/>
        <w:spacing w:line="360" w:lineRule="auto"/>
        <w:rPr>
          <w:rFonts w:ascii="Times New Roman" w:hAnsi="Times New Roman" w:cs="Times New Roman"/>
          <w:b w:val="0"/>
          <w:bCs w:val="0"/>
          <w:color w:val="auto"/>
          <w:sz w:val="22"/>
          <w:szCs w:val="22"/>
        </w:rPr>
      </w:pPr>
      <w:r>
        <w:rPr>
          <w:rFonts w:ascii="Times New Roman" w:hAnsi="Times New Roman" w:cs="Times New Roman"/>
          <w:b w:val="0"/>
          <w:bCs w:val="0"/>
          <w:color w:val="auto"/>
          <w:sz w:val="22"/>
          <w:szCs w:val="22"/>
        </w:rPr>
        <w:t>Kurumun yönetim modeli ve organizasyonel yapılanması birim ve alanların genelini kapsayacak şekilde faaliyet göstermektedir. Hemşirelik yönetişim ve organizasyonel yapılanmanın değerlendirilmesi ve iyileştirme çalışmaları yapılmaktadır. Bu kapsamda 2025 yılında organizasyon şemasına bölüm komisyonları ile akreditaasyon çalışma grupları dahil edilmiştir (</w:t>
      </w:r>
      <w:r>
        <w:fldChar w:fldCharType="begin"/>
      </w:r>
      <w:r>
        <w:instrText xml:space="preserve"> HYPERLINK "https://sbfhemsirelik.ksu.edu.tr/Default.aspx?SId=31075"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w:t>
      </w:r>
    </w:p>
    <w:p w14:paraId="68B7746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05DF41CA">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Fizyoterapi ve Rehabilitasyon bölümünde organizasyon şeması bulunmaktadır ve formal iletişim kaynakları kullanılmaktadır. Organizasyon şeması ve görev tanımları  bölümümüz WEB sayfasında bulunmaktadır  </w:t>
      </w:r>
      <w:r>
        <w:rPr>
          <w:rFonts w:ascii="Times New Roman" w:hAnsi="Times New Roman" w:cs="Times New Roman"/>
          <w:b w:val="0"/>
          <w:bCs w:val="0"/>
          <w:color w:val="4472C4" w:themeColor="accent1"/>
          <w:sz w:val="24"/>
          <w:szCs w:val="24"/>
          <w14:textFill>
            <w14:solidFill>
              <w14:schemeClr w14:val="accent1"/>
            </w14:solidFill>
          </w14:textFill>
        </w:rPr>
        <w:t>(OD3)</w:t>
      </w:r>
      <w:r>
        <w:rPr>
          <w:rFonts w:ascii="Times New Roman" w:hAnsi="Times New Roman" w:cs="Times New Roman"/>
          <w:b w:val="0"/>
          <w:bCs w:val="0"/>
          <w:color w:val="auto"/>
          <w:sz w:val="24"/>
          <w:szCs w:val="24"/>
        </w:rPr>
        <w:t>.</w:t>
      </w:r>
    </w:p>
    <w:p w14:paraId="60EB9C60">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Üniversitemiz Stratejik Planı (2023-2027) bulunmaktadır. Fizyoterapi ve Rehabilitasyon bölümü ‘Stratejik Plan, Performans Programı ve Bütçe Komisyonu’ bulunmaktadır. Komisyon her yıl en az 3 kere fakültemizle toplanmaktadır. Yönetişim ve idari alanlarla ilgili kararlar akademik toplantılarda ele alınarak komisyon tarafından görüşülmektedir. Çoğunluk oylamasına göre karar verilmektedir </w:t>
      </w:r>
      <w:r>
        <w:fldChar w:fldCharType="begin"/>
      </w:r>
      <w:r>
        <w:instrText xml:space="preserve"> HYPERLINK "https://sbfftr.ksu.edu.tr/Default.aspx?SId=33672"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auto"/>
          <w:sz w:val="24"/>
          <w:szCs w:val="24"/>
        </w:rPr>
        <w:t>.</w:t>
      </w:r>
      <w:r>
        <w:rPr>
          <w:rStyle w:val="20"/>
          <w:rFonts w:ascii="Times New Roman" w:hAnsi="Times New Roman" w:cs="Times New Roman"/>
          <w:b w:val="0"/>
          <w:bCs w:val="0"/>
          <w:color w:val="auto"/>
          <w:sz w:val="24"/>
          <w:szCs w:val="24"/>
        </w:rPr>
        <w:fldChar w:fldCharType="end"/>
      </w:r>
    </w:p>
    <w:p w14:paraId="1CE7DB92">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Kurumun yönetim modeli ve organizasyonel yapılanması birim ve alanların genelini kapsayacak şekilde faaliyet göstermektedir. Fizyoterapi ve Rehabilitasyon bölümü yönetişim ve organizasyonel yapılanmanın değerlendirilmesi ve iyileştirme çalışmaları çeşitli toplantılarda yapılmaktadır.</w:t>
      </w:r>
    </w:p>
    <w:p w14:paraId="544116B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612953E">
      <w:pPr>
        <w:pStyle w:val="2"/>
        <w:spacing w:after="240" w:line="360" w:lineRule="auto"/>
      </w:pPr>
      <w:r>
        <w:rPr>
          <w:rFonts w:ascii="Times New Roman" w:hAnsi="Times New Roman" w:cs="Times New Roman"/>
          <w:b w:val="0"/>
          <w:bCs w:val="0"/>
          <w:color w:val="000000"/>
          <w:sz w:val="24"/>
          <w:szCs w:val="24"/>
        </w:rPr>
        <w:t>Kahramanmaraş Sütçü İmam Üniversitesi Sağlık Bilimleri Fakültesi Ebelik Bölümü'nün organizasyon şeması, akademik ve idari işleyişin sistematik bir hiyerarşi içinde yürütüldüğünü açıkça göstermektedir. Ayrıca, eğitim kalitesinin sürdürülebilirliğini sağlamak amacıyla oluşturulan Bölüm Akademik Kurulu ve çeşitli Komisyonlar (Eğitim-öğretim, Staj, Kalite vb.), idari ve akademik karar alma süreçlerinde katılımcı bir model sunmaktadır. Bu şema, hem öğrencilerin hem de personelin görev ve sorumluluk alanlarını netleştirerek, kurumun kurumsal kimliğine ve eğitim hedeflerine uygun, koordineli bir çalışma ortamı sağlamayı amaçlamaktadır (</w:t>
      </w:r>
      <w:r>
        <w:fldChar w:fldCharType="begin"/>
      </w:r>
      <w:r>
        <w:instrText xml:space="preserve"> HYPERLINK "https://sbfebelik.ksu.edu.tr/depo/belgeler/2025-Organizasyon%20%C5%9Eemas%C4%B1.docx_2506301005092703.pdf"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Akreditasyon çalışmaları kapsamında bölümde bölüm başkanlığı, öğretim görevliliği vb. Görev tanımlarında güncelleme yapılmıştır (</w:t>
      </w:r>
      <w:r>
        <w:fldChar w:fldCharType="begin"/>
      </w:r>
      <w:r>
        <w:instrText xml:space="preserve"> HYPERLINK "https://sbfebelik.ksu.edu.tr/Default.aspx?SId=33492" \h </w:instrText>
      </w:r>
      <w:r>
        <w:fldChar w:fldCharType="separate"/>
      </w:r>
      <w:r>
        <w:rPr>
          <w:rFonts w:ascii="Times New Roman" w:hAnsi="Times New Roman" w:cs="Times New Roman"/>
          <w:b w:val="0"/>
          <w:bCs w:val="0"/>
          <w:color w:val="1155CC"/>
          <w:sz w:val="24"/>
          <w:szCs w:val="24"/>
          <w:u w:val="single"/>
        </w:rPr>
        <w:t>OD4</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2025 yılında bölüm başkanı ve bölüm başkan yardımcıları ataması yapılmıştır (</w:t>
      </w:r>
      <w:r>
        <w:fldChar w:fldCharType="begin"/>
      </w:r>
      <w:r>
        <w:instrText xml:space="preserve"> HYPERLINK "https://drive.google.com/drive/folders/1G3S7WQBZwhJzdkwONu3ORVqEhqlrdOj2"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xml:space="preserve"> </w:t>
      </w:r>
      <w:r>
        <w:fldChar w:fldCharType="begin"/>
      </w:r>
      <w:r>
        <w:instrText xml:space="preserve"> HYPERLINK "https://sbfebelik.ksu.edu.tr/Default.aspx?SId=32268"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2025 yılı içerisinde gerçekleştirilen yönetsel reformlar kapsamında, mevcut komisyonların teşkilat yapısında revizyona gidilmiştir. (</w:t>
      </w:r>
      <w:r>
        <w:fldChar w:fldCharType="begin"/>
      </w:r>
      <w:r>
        <w:instrText xml:space="preserve"> HYPERLINK "https://drive.google.com/file/d/1TeJ--USb3o_H6Wwr622H3sxESbAUjMGA/view?usp=sharing" \h </w:instrText>
      </w:r>
      <w:r>
        <w:fldChar w:fldCharType="separate"/>
      </w:r>
      <w:r>
        <w:rPr>
          <w:rFonts w:ascii="Times New Roman" w:hAnsi="Times New Roman" w:cs="Times New Roman"/>
          <w:b w:val="0"/>
          <w:bCs w:val="0"/>
          <w:color w:val="0563C1"/>
          <w:sz w:val="24"/>
          <w:szCs w:val="24"/>
          <w:u w:val="single"/>
        </w:rPr>
        <w:t>OD3)</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xml:space="preserve"> Söz konusu komisyonların üye kompozisyonları, görev tanımları ve operasyonel iş akış şemaları, hesap verebilirlik ve şeffaflık ilkeleri uyarınca standardize edilerek tüm paydaşların erişimine sunulmuştur. Bu yapısal dönüşüm, anabilim dallarının akademik çıktılarını denetlenebilir yönetim mekanizmalarıyla desteklemekte ve eğitim kalitesinin sürdürülebilir gelişimini stratejik bir öncelik haline getirmektedir. Kurumun yönetim modeli ve organizasyonel yapılanması birim ve alanların genelini kapsayacak şekilde faaliyet göstermektedir. </w:t>
      </w:r>
    </w:p>
    <w:p w14:paraId="1E84686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A.1.2. Liderlik</w:t>
      </w:r>
    </w:p>
    <w:p w14:paraId="5163D16A">
      <w:pPr>
        <w:pStyle w:val="2"/>
        <w:spacing w:line="360" w:lineRule="auto"/>
        <w:rPr>
          <w:rFonts w:ascii="Times New Roman" w:hAnsi="Times New Roman" w:cs="Times New Roman"/>
          <w:b w:val="0"/>
          <w:bCs w:val="0"/>
          <w:color w:val="auto"/>
          <w:sz w:val="22"/>
          <w:szCs w:val="22"/>
        </w:rPr>
      </w:pPr>
      <w:r>
        <w:rPr>
          <w:rFonts w:ascii="Times New Roman" w:hAnsi="Times New Roman" w:cs="Times New Roman"/>
          <w:b w:val="0"/>
          <w:bCs w:val="0"/>
          <w:color w:val="auto"/>
          <w:sz w:val="22"/>
          <w:szCs w:val="22"/>
        </w:rPr>
        <w:t>Rektörlük ve süreç liderleri, yükseköğretimdeki değişime yaklaşım ve kalite güvencesi sistemi kapsamında periyodik olarak toplantılar düzenlemektedir. Birimde lider yönetici dekandır. Sağlık Bilimleri Fakültesi’nde 2025 yılında Dekanlık makamında değişiklik olmuştur. 2025 yılında iki dekan yardımcısı ataması yapılmıştır. Dekan yardımcılarının görev tanımları Kalite komisyonunda yapılan toplantılar çalışmalar ile görev tanımları iki kategoride “Akademik İşler-İşlemler”, İdari İş ve İşlemler” sınıflandırılmıştır. Birimde Toplantı karar tutanakları EBYS üzerinden birimlere iletilmektedir. Bölümlerde Bölüm Başkanları ve Ana bilim dalı başkanları ilgili görevleri yürütmektedir. Hemşirelik bölümü akreditasyon komisyonu kapsamında bilimsel ve sosyal toplantı hareketleri, araştırmaların teşviki, iletişim ağı, araştırma, inovasyon faaliyetleri aktif şekilde yürütülmekte ve iyileştirmeleri yapılmaktadır</w:t>
      </w:r>
    </w:p>
    <w:p w14:paraId="55C3D79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1E08F2F">
      <w:pPr>
        <w:pStyle w:val="2"/>
        <w:spacing w:line="360" w:lineRule="auto"/>
        <w:rPr>
          <w:rFonts w:ascii="Times New Roman" w:hAnsi="Times New Roman" w:cs="Times New Roman"/>
          <w:b w:val="0"/>
          <w:bCs w:val="0"/>
          <w:color w:val="auto"/>
          <w:sz w:val="22"/>
          <w:szCs w:val="22"/>
        </w:rPr>
      </w:pPr>
      <w:r>
        <w:rPr>
          <w:rFonts w:ascii="Times New Roman" w:hAnsi="Times New Roman" w:cs="Times New Roman"/>
          <w:b w:val="0"/>
          <w:bCs w:val="0"/>
          <w:color w:val="auto"/>
          <w:sz w:val="22"/>
          <w:szCs w:val="22"/>
        </w:rPr>
        <w:t>Hemşirelik Bölümü, kamuoyunu bilgilendirme ve hesap verebilirlik ilkelerini eğitim kalitesinin ayrılmaz bir parçası olarak benimsemiştir. Bölüm, eğitim programlarından klinik uygulama süreçlerine kadar tüm faaliyetlerini şeffaflıkla yayımlamakta; kurumsal web sayfası üzerinden güncel müfredat, akademik kadro ve öğrenci olanaklarını kolayca erişilebilir kılmaktadır (</w:t>
      </w:r>
      <w:r>
        <w:fldChar w:fldCharType="begin"/>
      </w:r>
      <w:r>
        <w:instrText xml:space="preserve"> HYPERLINK "https://sbfhemsirelik.ksu.edu.tr/Default.aspx?SId=7792"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İç ve dış hesap verme yöntemlerini sistematik bir şekilde yürütülmektedir. Bölümde akreditasyon üst kurulu altında “iç ve dış paydaş iletişim” çalışma grubu bulunmaktadır (</w:t>
      </w:r>
      <w:r>
        <w:fldChar w:fldCharType="begin"/>
      </w:r>
      <w:r>
        <w:instrText xml:space="preserve"> HYPERLINK "https://sbfhemsirelik.ksu.edu.tr/depo/belgeler/AKRED%C4%B0TASYON%20KOM%C4%B0SYONU_2511171541419517.pdf"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Şeffaflık ve hesap verebilirlik standartları doğrultusunda, çalışma grubunun görev kapsamı ve yetki sınırları tanımlanarak web sitesi üzerinden kamuoyuyla paylaşılmıştır. Bu sayede tüm paydaşların süreçlere dair bilgilendirilmesi ve izlenebilirlik mekanizması güvence altına alınmıştır (</w:t>
      </w:r>
      <w:r>
        <w:fldChar w:fldCharType="begin"/>
      </w:r>
      <w:r>
        <w:instrText xml:space="preserve"> HYPERLINK "https://sbfhemsirelik.ksu.edu.tr/depo/belgeler/5-i%C3%A7%20ve%20d%C4%B1%C5%9F%20payda%C5%9F%20komisyonu%20g%C3%B6rev%20tan%C4%B1m%C4%B1_2506031020007729.pdf" \h </w:instrText>
      </w:r>
      <w:r>
        <w:fldChar w:fldCharType="separate"/>
      </w:r>
      <w:r>
        <w:rPr>
          <w:rStyle w:val="20"/>
          <w:rFonts w:ascii="Times New Roman" w:hAnsi="Times New Roman" w:cs="Times New Roman"/>
          <w:b w:val="0"/>
          <w:bCs w:val="0"/>
          <w:sz w:val="22"/>
          <w:szCs w:val="22"/>
        </w:rPr>
        <w:t>OD3</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İlgili çalışma grubu, tüm faaliyetlerini önceden tanımlanmış ve ilan edilmiş olan iş akış süreçleri doğrultusunda gerçekleştirerek; uygulama aşamalarında kurumsal standartlara tam uyum sağlamıştır (</w:t>
      </w:r>
      <w:r>
        <w:fldChar w:fldCharType="begin"/>
      </w:r>
      <w:r>
        <w:instrText xml:space="preserve"> HYPERLINK "https://sbfhemsirelik.ksu.edu.tr/depo/belgeler/%C4%B0%C3%87%20DI%C5%9E%20PAYDA%C5%9E%20KOM%C4%B0SYONU%20%C4%B0%C5%9E%20AKI%C5%9E%20%C5%9EEMASI_2503171432454219.pdf"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2025 yılında hem iç hem de dış paydaşlar ile çeşitli toplantılar gerçekleştirilmiş, katılımları alınmış, görüşleri nitel ve nicel yöntemlerle toplanmıştır (</w:t>
      </w:r>
      <w:r>
        <w:fldChar w:fldCharType="begin"/>
      </w:r>
      <w:r>
        <w:instrText xml:space="preserve"> HYPERLINK "https://drive.google.com/file/d/1E5_yRV7aeeqmnFVCPdhI8uLiSO55Qu8K/view?usp=sharing"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r>
        <w:fldChar w:fldCharType="begin"/>
      </w:r>
      <w:r>
        <w:instrText xml:space="preserve"> HYPERLINK "https://drive.google.com/file/d/1KD4QphjUR_KDKZOpDdmRh7L6OlhZnusJ/view?usp=sharing" \h </w:instrText>
      </w:r>
      <w:r>
        <w:fldChar w:fldCharType="separate"/>
      </w:r>
      <w:r>
        <w:rPr>
          <w:rStyle w:val="20"/>
          <w:rFonts w:ascii="Times New Roman" w:hAnsi="Times New Roman" w:cs="Times New Roman"/>
          <w:b w:val="0"/>
          <w:bCs w:val="0"/>
          <w:sz w:val="22"/>
          <w:szCs w:val="22"/>
        </w:rPr>
        <w:t>OD4,</w:t>
      </w:r>
      <w:r>
        <w:rPr>
          <w:rStyle w:val="20"/>
          <w:rFonts w:ascii="Times New Roman" w:hAnsi="Times New Roman" w:cs="Times New Roman"/>
          <w:b w:val="0"/>
          <w:bCs w:val="0"/>
          <w:sz w:val="22"/>
          <w:szCs w:val="22"/>
        </w:rPr>
        <w:fldChar w:fldCharType="end"/>
      </w:r>
      <w:r>
        <w:rPr>
          <w:rFonts w:ascii="Times New Roman" w:hAnsi="Times New Roman" w:cs="Times New Roman"/>
          <w:b w:val="0"/>
          <w:bCs w:val="0"/>
          <w:color w:val="auto"/>
          <w:sz w:val="22"/>
          <w:szCs w:val="22"/>
        </w:rPr>
        <w:t xml:space="preserve"> )</w:t>
      </w:r>
    </w:p>
    <w:p w14:paraId="7EE1EA0B">
      <w:pPr>
        <w:pStyle w:val="2"/>
        <w:spacing w:line="360" w:lineRule="auto"/>
      </w:pPr>
      <w:r>
        <w:rPr>
          <w:rFonts w:ascii="Times New Roman" w:hAnsi="Times New Roman" w:cs="Times New Roman"/>
          <w:b w:val="0"/>
          <w:bCs w:val="0"/>
          <w:color w:val="auto"/>
          <w:sz w:val="22"/>
          <w:szCs w:val="22"/>
        </w:rPr>
        <w:t>Bölgenin sağlık dinamikleriyle güçlü bağlar kuran KSÜ Hemşirelik, yerel yönetimler, kamu hastaneleri ve sivil toplum kuruluşlarıyla iş birliği içerisinde toplumsal katkı faaliyetlerini yürütmektedir. Kurumsal özerklik ile topluma karşı sorumluluk bilincini harmanlayan bölüm, stratejik hedeflerini ve bu hedeflere ulaşma düzeyini düzenli olarak paydaşlarıyla paylaşmaktadır. Bu sistematik yaklaşım, sadece mezunların mesleki yetkinliğini artırmakla kalmamakta, aynı zamanda kurumun tüm süreçlerinin izlenebilir, sorgulanabilir ve sürekli gelişime açık bir yapıda kalmasını sağlamaktadır.</w:t>
      </w:r>
    </w:p>
    <w:p w14:paraId="55328AC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C6B62AA">
      <w:pPr>
        <w:pStyle w:val="2"/>
        <w:spacing w:line="360" w:lineRule="auto"/>
        <w:rPr>
          <w:rFonts w:ascii="Times New Roman" w:hAnsi="Times New Roman" w:cs="Times New Roman"/>
          <w:color w:val="auto"/>
          <w:sz w:val="22"/>
          <w:szCs w:val="22"/>
        </w:rPr>
      </w:pPr>
      <w:r>
        <w:rPr>
          <w:rFonts w:ascii="Times New Roman" w:hAnsi="Times New Roman" w:cs="Times New Roman"/>
          <w:b w:val="0"/>
          <w:bCs w:val="0"/>
          <w:color w:val="auto"/>
          <w:sz w:val="24"/>
          <w:szCs w:val="24"/>
        </w:rPr>
        <w:t>Fizyoterapi ve Rehabilitasyon bölümünde bilimsel ve sosyal toplantı hareketleri, araştırmaların teşviki, iletişim ağı, araştırma, inovasyon faaliyetleri aktif şekilde yürütülmekte ve iyileştirmeleri bölüm olarak değerlendirilerek yapılmaktadır.</w:t>
      </w:r>
    </w:p>
    <w:p w14:paraId="0F01F23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24CB9B6E">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Ebelik Bölümü, kamuoyunu bilgilendirme ve hesap verebilirlik ilkelerini eğitim kalitesinin ayrılmaz bir parçası olarak benimsemiştir. Bölüm, eğitim programlarından klinik uygulama süreçlerine kadar tüm faaliyetlerini şeffaflıkla yayınlamaktadır; kurumsal web sayfası üzerinden güncel müfredat, akademik kadro ve öğrenci olanaklarını kolayca erişilebilir kılmaktadır (</w:t>
      </w:r>
      <w:r>
        <w:fldChar w:fldCharType="begin"/>
      </w:r>
      <w:r>
        <w:instrText xml:space="preserve"> HYPERLINK "https://sbfebelik.ksu.edu.tr/"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İç ve dış hesap verme yöntemlerini sistematik bir şekilde yürütülmektedir. Bölümde akreditasyon çalışma grubu bulunmaktadır (</w:t>
      </w:r>
      <w:r>
        <w:fldChar w:fldCharType="begin"/>
      </w:r>
      <w:r>
        <w:instrText xml:space="preserve"> HYPERLINK "https://docs.google.com/document/d/1jj2HhHWksTQ3HYUj0WpX3sTvmTbnJSfS/edit"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Şeffaflık ve hesap verebilirlik standartları doğrultusunda, çalışma grubunun görev kapsamı ve yetki sınırları tanımlanarak web sitesi üzerinden kamuoyuyla paylaşılmıştır. Bu sayede tüm paydaşların süreçlere dair bilgilendirilmesi ve izlenebilirlik mekanizması güvence altına alınmıştır (</w:t>
      </w:r>
      <w:r>
        <w:fldChar w:fldCharType="begin"/>
      </w:r>
      <w:r>
        <w:instrText xml:space="preserve"> HYPERLINK "https://sbfhemsirelik.ksu.edu.tr/depo/belgeler/5-i%C3%A7%20ve%20d%C4%B1%C5%9F%20payda%C5%9F%20komisyonu%20g%C3%B6rev%20tan%C4%B1m%C4%B1_2506031020007729.pdf" \h </w:instrText>
      </w:r>
      <w:r>
        <w:fldChar w:fldCharType="separate"/>
      </w:r>
      <w:r>
        <w:rPr>
          <w:rFonts w:ascii="Times New Roman" w:hAnsi="Times New Roman" w:cs="Times New Roman"/>
          <w:b w:val="0"/>
          <w:bCs w:val="0"/>
          <w:color w:val="0563C1"/>
          <w:sz w:val="24"/>
          <w:szCs w:val="24"/>
          <w:u w:val="single"/>
        </w:rPr>
        <w:t>OD3</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İlgili çalışma grubu, tüm faaliyetlerini önceden tanımlanmış ve ilan edilmiş olan iş akış süreçleri doğrultusunda gerçekleştirerek; uygulama aşamalarında kurumsal standartlara tam uyum sağlamıştır (</w:t>
      </w:r>
      <w:r>
        <w:fldChar w:fldCharType="begin"/>
      </w:r>
      <w:r>
        <w:instrText xml:space="preserve"> HYPERLINK "https://sbfhemsirelik.ksu.edu.tr/depo/belgeler/%C4%B0%C3%87%20DI%C5%9E%20PAYDA%C5%9E%20KOM%C4%B0SYONU%20%C4%B0%C5%9E%20AKI%C5%9E%20%C5%9EEMASI_2503171432454219.pdf" \h </w:instrText>
      </w:r>
      <w:r>
        <w:fldChar w:fldCharType="separate"/>
      </w:r>
      <w:r>
        <w:rPr>
          <w:rFonts w:ascii="Times New Roman" w:hAnsi="Times New Roman" w:cs="Times New Roman"/>
          <w:b w:val="0"/>
          <w:bCs w:val="0"/>
          <w:color w:val="0563C1"/>
          <w:sz w:val="24"/>
          <w:szCs w:val="24"/>
          <w:u w:val="single"/>
        </w:rPr>
        <w:t>OD4</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2025 yılında hem iç hem de dış paydaşlar ile çeşitli toplantılar gerçekleştirilmiş, katılımları alınmış, görüşleri nitel ve nicel yöntemlerle toplanmıştır (</w:t>
      </w:r>
      <w:r>
        <w:fldChar w:fldCharType="begin"/>
      </w:r>
      <w:r>
        <w:instrText xml:space="preserve"> HYPERLINK "https://drive.google.com/file/d/1E5_yRV7aeeqmnFVCPdhI8uLiSO55Qu8K/view?usp=sharing" \h </w:instrText>
      </w:r>
      <w:r>
        <w:fldChar w:fldCharType="separate"/>
      </w:r>
      <w:r>
        <w:rPr>
          <w:rFonts w:ascii="Times New Roman" w:hAnsi="Times New Roman" w:cs="Times New Roman"/>
          <w:b w:val="0"/>
          <w:bCs w:val="0"/>
          <w:color w:val="0563C1"/>
          <w:sz w:val="24"/>
          <w:szCs w:val="24"/>
          <w:u w:val="single"/>
        </w:rPr>
        <w:t>OD4</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xml:space="preserve">, </w:t>
      </w:r>
      <w:r>
        <w:fldChar w:fldCharType="begin"/>
      </w:r>
      <w:r>
        <w:instrText xml:space="preserve"> HYPERLINK "https://drive.google.com/file/d/1KD4QphjUR_KDKZOpDdmRh7L6OlhZnusJ/view?usp=sharing" \h </w:instrText>
      </w:r>
      <w:r>
        <w:fldChar w:fldCharType="separate"/>
      </w:r>
      <w:r>
        <w:rPr>
          <w:rFonts w:ascii="Times New Roman" w:hAnsi="Times New Roman" w:cs="Times New Roman"/>
          <w:b w:val="0"/>
          <w:bCs w:val="0"/>
          <w:color w:val="0563C1"/>
          <w:sz w:val="24"/>
          <w:szCs w:val="24"/>
          <w:u w:val="single"/>
        </w:rPr>
        <w:t>OD4,</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w:t>
      </w:r>
    </w:p>
    <w:p w14:paraId="5ADFC635">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Bölgenin sağlık dinamikleriyle güçlü bağlar kuran KSÜ Ebelik Bölümü, yerel yönetimler, kamu hastaneleri ve sivil toplum kuruluşlarıyla iş birliği içerisinde toplumsal katkı faaliyetlerini yürütmektedir. Kurumsal özerklik ile topluma karşı sorumluluk bilincini harmanlayan bölüm, stratejik hedeflerini ve bu hedeflere ulaşma düzeyini düzenli olarak paydaşlarıyla paylaşmaktadır. Bu sistematik yaklaşım, sadece mezunların mesleki yetkinliğini artırmakla kalmamakta, aynı zamanda kurumun tüm süreçlerinin izlenebilir, sorgulanabilir ve sürekli gelişime açık bir yapıda kalmasını sağlamaktadır.</w:t>
      </w:r>
    </w:p>
    <w:p w14:paraId="4A2AE3BC">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A.1.3. Kurumsal dönüşüm kapasitesi </w:t>
      </w:r>
    </w:p>
    <w:p w14:paraId="0053AA48">
      <w:pPr>
        <w:pStyle w:val="2"/>
        <w:spacing w:line="360" w:lineRule="auto"/>
        <w:rPr>
          <w:rFonts w:hint="default" w:ascii="Times New Roman" w:hAnsi="Times New Roman" w:cs="Times New Roman"/>
          <w:b w:val="0"/>
          <w:bCs w:val="0"/>
          <w:color w:val="auto"/>
          <w:sz w:val="24"/>
          <w:szCs w:val="24"/>
          <w:lang w:val="tr-TR"/>
        </w:rPr>
      </w:pPr>
      <w:r>
        <w:rPr>
          <w:rFonts w:ascii="Times New Roman" w:hAnsi="Times New Roman" w:cs="Times New Roman"/>
          <w:b w:val="0"/>
          <w:bCs w:val="0"/>
          <w:color w:val="auto"/>
          <w:sz w:val="24"/>
          <w:szCs w:val="24"/>
        </w:rPr>
        <w:t>Sağlık Bilimleri Fakültesi, yükseköğretimdeki dijitalleşme ve sağlık teknolojilerindeki hızlı değişimi öngören çevik yönetim modeliyle kurumsal dönüşüm kapasitesini her geçen gün güçlendirmektedir. Fakülte bünyesindeki Hemşirelik, Fizyoterapi ve Rehabilitasyon ile Ebelik bölümleri; ulusal çekirdek eğitim programları (HUÇEP, EBE-UÇEP-2025) ve HEPDAK akreditasyon standartları doğrultusunda müfredatlarını dinamik bir şekilde güncellemekte, bu süreçte iç ve dış paydaş görüşlerini sistematik bir iyileştirme aracı olarak kullanmaktadır.</w:t>
      </w:r>
      <w:r>
        <w:rPr>
          <w:rFonts w:hint="default" w:ascii="Times New Roman" w:hAnsi="Times New Roman" w:cs="Times New Roman"/>
          <w:b w:val="0"/>
          <w:bCs w:val="0"/>
          <w:color w:val="auto"/>
          <w:sz w:val="24"/>
          <w:szCs w:val="24"/>
          <w:lang w:val="tr-TR"/>
        </w:rPr>
        <w:t xml:space="preserve"> Bölümlerimize ilişkin bilgiler şu şekildedir;</w:t>
      </w:r>
    </w:p>
    <w:p w14:paraId="00604F2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A004319">
      <w:pPr>
        <w:spacing w:before="240" w:after="240"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t>Hemşirelik Bölümü, yükseköğretim ekosistemindeki dijitalleşme ve sağlık teknolojilerindeki hızlı değişimi öngörerek çevik bir yönetim modeli sergilemektedir. Kurum, ulusal hedefler ve Hemşirelik Ulusal Çekirdek Eğitim Programı (HUÇEP) ile uyumlu olarak misyon ve vizyonunu düzenli olarak gözden geçirmekte; değişim ihtiyacını olgunluk seviyesinde analiz etmektedir. Bölümümüz, 2025 yılında Hemşirelik Eğitim Programları Değerlendirme ve Akreditasyon Derneği’ne (HEPDAK) resmi akreditasyon başvurusunu gerçekleştirmiştir. Bu süreçte, programın akreditasyon standartlarıyla uyumlu hale getirilmesi amacıyla 2025 yılı itibarıyla kapsamlı bir müfredat güncelleme çalışması başlatılmıştır. Taslak müfredat hazırlığı aşamasında, eğitim kalitesini artırmak ve şeffaflığı sağlamak adına tüm iç ve dış paydaşların görüşlerine başvurulmuştur  (</w:t>
      </w:r>
      <w:r>
        <w:fldChar w:fldCharType="begin"/>
      </w:r>
      <w:r>
        <w:instrText xml:space="preserve"> HYPERLINK "https://drive.google.com/file/d/1YwkelRCgf96OAe6RfYgbDjfsCGNK7SFk/view?usp=sharing"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"https://drive.google.com/file/d/1Rbrs879htNUqDt2CRgzyYV1trDUjFkou/view?usp=sharing"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Gelen görüşler doğrultusunda taslak müfredatta gerekli düzenlemeler yapılarak senato onayına sunularak kabul edilmiştir (</w:t>
      </w:r>
      <w:r>
        <w:fldChar w:fldCharType="begin"/>
      </w:r>
      <w:r>
        <w:instrText xml:space="preserve"> HYPERLINK "https://drive.google.com/file/d/1_ZohikZ35D2-39fRODeyuidWyCDW08Cq/view?usp=sharing"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Gelecek senaryoları üzerine yapılan analizler doğrultusunda, eğitimde simülasyon temelli öğrenme ve uzaktan eğitim altyapıları gibi yenilikçi modelleri müfredatına entegre ederek kurumsal özgünlüğünü güçlendirmiştir. </w:t>
      </w:r>
    </w:p>
    <w:p w14:paraId="09C91A7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59BEA6AC">
      <w:pPr>
        <w:pStyle w:val="21"/>
        <w:spacing w:before="0" w:beforeAutospacing="0" w:after="0" w:afterAutospacing="0" w:line="360" w:lineRule="auto"/>
        <w:jc w:val="both"/>
      </w:pPr>
      <w:r>
        <w:rPr>
          <w:color w:val="000000"/>
        </w:rPr>
        <w:t>Geleceğe uyum için amaç, misyon ve hedefler doğrultusunda kurumu dönüştürmek üzere değişim yönetimi, kıyaslama, yenilik yönetimi gibi yaklaşımları kullanır ve kurumsal özgünlüğü güçlendirir.</w:t>
      </w:r>
    </w:p>
    <w:p w14:paraId="6CB0E7EF">
      <w:pPr>
        <w:pStyle w:val="21"/>
        <w:spacing w:before="0" w:beforeAutospacing="0" w:after="0" w:afterAutospacing="0" w:line="360" w:lineRule="auto"/>
        <w:jc w:val="both"/>
      </w:pPr>
      <w:r>
        <w:rPr>
          <w:color w:val="000000"/>
        </w:rPr>
        <w:t xml:space="preserve">Kurumsal dönüşüm kapsamında iç-dış paydaş görüşleri 2024-2025 eğitim öğretim yılı itibariyle gerçekleştirilmiş olup, toplantılar düzenlenmekte ve iyileştirme çalışmaları devam etmektedir </w:t>
      </w:r>
      <w:r>
        <w:fldChar w:fldCharType="begin"/>
      </w:r>
      <w:r>
        <w:instrText xml:space="preserve"> HYPERLINK "https://drive.google.com/drive/u/3/my-drive" </w:instrText>
      </w:r>
      <w:r>
        <w:fldChar w:fldCharType="separate"/>
      </w:r>
      <w:r>
        <w:rPr>
          <w:rStyle w:val="20"/>
          <w:color w:val="1155CC"/>
        </w:rPr>
        <w:t>(OD3)</w:t>
      </w:r>
      <w:r>
        <w:rPr>
          <w:rStyle w:val="20"/>
          <w:color w:val="1155CC"/>
        </w:rPr>
        <w:fldChar w:fldCharType="end"/>
      </w:r>
      <w:r>
        <w:rPr>
          <w:color w:val="000000"/>
        </w:rPr>
        <w:t>.</w:t>
      </w:r>
    </w:p>
    <w:p w14:paraId="0308B01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3811554">
      <w:pPr>
        <w:pStyle w:val="2"/>
        <w:spacing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 xml:space="preserve">Ebelik Bölümü, yükseköğretim ekosistemindeki dijitalleşme ve sağlık teknolojilerindeki hızlı değişimi öngörerek çevik bir yönetim modeli sergilemektedir. </w:t>
      </w:r>
      <w:r>
        <w:rPr>
          <w:rFonts w:ascii="Times New Roman" w:hAnsi="Times New Roman" w:cs="Times New Roman"/>
          <w:b w:val="0"/>
          <w:bCs w:val="0"/>
          <w:color w:val="000000"/>
          <w:sz w:val="24"/>
          <w:szCs w:val="24"/>
          <w:highlight w:val="white"/>
        </w:rPr>
        <w:t>Bölümümüz Ebelik Ulusal Çekirdek Eğitim Programı (EBE-UÇEP-2025) doğrultusunda uyumlu hale getirilmek üzere kapsamlı bir müfredat güncelleme çalışması başlatmış olup, çalışmaların kısa süre içinde tamamlanması hedeflenmektedir. Bu çalışma ile ebelik lisans programının, ulusal yeterlilikler ve mesleki standartlarla tam uyum içinde yürütülmesi amaçlanmaktadır.</w:t>
      </w:r>
      <w:r>
        <w:rPr>
          <w:rFonts w:ascii="Times New Roman" w:hAnsi="Times New Roman" w:cs="Times New Roman"/>
          <w:b w:val="0"/>
          <w:bCs w:val="0"/>
          <w:color w:val="000000"/>
          <w:sz w:val="24"/>
          <w:szCs w:val="24"/>
        </w:rPr>
        <w:t xml:space="preserve"> Taslak müfredat hazırlığı aşamasında, bölüm öğretim elemanları ile müfredat güncelleme toplantılarını düzenlemiştir</w:t>
      </w:r>
      <w:r>
        <w:rPr>
          <w:rFonts w:ascii="Times New Roman" w:hAnsi="Times New Roman" w:cs="Times New Roman"/>
          <w:sz w:val="24"/>
          <w:szCs w:val="24"/>
        </w:rPr>
        <w:t xml:space="preserve"> </w:t>
      </w:r>
      <w:r>
        <w:rPr>
          <w:rFonts w:ascii="Times New Roman" w:hAnsi="Times New Roman" w:cs="Times New Roman"/>
          <w:b w:val="0"/>
          <w:bCs w:val="0"/>
          <w:sz w:val="24"/>
          <w:szCs w:val="24"/>
        </w:rPr>
        <w:t>(</w:t>
      </w:r>
      <w:r>
        <w:fldChar w:fldCharType="begin"/>
      </w:r>
      <w:r>
        <w:instrText xml:space="preserve"> HYPERLINK "http://bys.ksu.edu.tr/enVision/DocumentModule/DOC_Documents.aspx?value=lNJDVJQZEJSlW0PlzMYmmNYkmVcrXQYjyVZiyVMj25YsWxZlW1ZPk5J9kQR2zYMBkNJtD0VQMGEVR9UQSmTELB0VUIkNUQFlVBT1RBFZRFkNTTF9RSUFRm0gQHEFUZVRR9EUUDE9RFU1VTlRTF" \h </w:instrText>
      </w:r>
      <w:r>
        <w:fldChar w:fldCharType="separate"/>
      </w:r>
      <w:r>
        <w:rPr>
          <w:rFonts w:ascii="Times New Roman" w:hAnsi="Times New Roman" w:cs="Times New Roman"/>
          <w:b w:val="0"/>
          <w:bCs w:val="0"/>
          <w:color w:val="1155CC"/>
          <w:sz w:val="24"/>
          <w:szCs w:val="24"/>
          <w:u w:val="single"/>
        </w:rPr>
        <w:t>OD4</w:t>
      </w:r>
      <w:r>
        <w:rPr>
          <w:rFonts w:ascii="Times New Roman" w:hAnsi="Times New Roman" w:cs="Times New Roman"/>
          <w:b w:val="0"/>
          <w:bCs w:val="0"/>
          <w:color w:val="1155CC"/>
          <w:sz w:val="24"/>
          <w:szCs w:val="24"/>
          <w:u w:val="single"/>
        </w:rPr>
        <w:fldChar w:fldCharType="end"/>
      </w:r>
      <w:r>
        <w:fldChar w:fldCharType="begin"/>
      </w:r>
      <w:r>
        <w:instrText xml:space="preserve"> HYPERLINK "http://bys.ksu.edu.tr/enVision/DocumentModule/DOC_Documents.aspx?value=lNJDVJQZEJSlW0PlzMYmmNYkmVcrXQYjyVZiyVMj25YsWxZlW1ZPk5J9kQR2zYMBkNJtD0VQMGEVR9UQSmTELB0VUIkNUQFlVBT1RBFZRFkNTTF9RSUFRm0gQHEFUZVRR9EUUDE9RFU1VTlRTF" \h </w:instrText>
      </w:r>
      <w:r>
        <w:fldChar w:fldCharType="separate"/>
      </w:r>
      <w:r>
        <w:rPr>
          <w:rFonts w:ascii="Times New Roman" w:hAnsi="Times New Roman" w:cs="Times New Roman"/>
          <w:b w:val="0"/>
          <w:bCs w:val="0"/>
          <w:color w:val="1155CC"/>
          <w:sz w:val="24"/>
          <w:szCs w:val="24"/>
          <w:u w:val="single"/>
        </w:rPr>
        <w:t>,</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sz w:val="24"/>
          <w:szCs w:val="24"/>
        </w:rPr>
        <w:t xml:space="preserve"> </w:t>
      </w:r>
      <w:r>
        <w:fldChar w:fldCharType="begin"/>
      </w:r>
      <w:r>
        <w:instrText xml:space="preserve"> HYPERLINK "https://sbfebelik.ksu.edu.tr/default.aspx?DId=100065" \h </w:instrText>
      </w:r>
      <w:r>
        <w:fldChar w:fldCharType="separate"/>
      </w:r>
      <w:r>
        <w:rPr>
          <w:rFonts w:ascii="Times New Roman" w:hAnsi="Times New Roman" w:cs="Times New Roman"/>
          <w:b w:val="0"/>
          <w:bCs w:val="0"/>
          <w:color w:val="1155CC"/>
          <w:sz w:val="24"/>
          <w:szCs w:val="24"/>
          <w:u w:val="single"/>
        </w:rPr>
        <w:t>OD4</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sz w:val="24"/>
          <w:szCs w:val="24"/>
        </w:rPr>
        <w:t>).</w:t>
      </w:r>
      <w:r>
        <w:rPr>
          <w:rFonts w:ascii="Times New Roman" w:hAnsi="Times New Roman" w:cs="Times New Roman"/>
          <w:sz w:val="24"/>
          <w:szCs w:val="24"/>
        </w:rPr>
        <w:t xml:space="preserve"> </w:t>
      </w:r>
    </w:p>
    <w:p w14:paraId="0C2C12FA">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A.1.4. İç kalite güvencesi mekanizmaları </w:t>
      </w:r>
    </w:p>
    <w:p w14:paraId="4ED41AD1">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Sağlık Bilimleri Fakültesi bünyesinde kalite güvencesi, eğitim ve öğretim, toplumsal katkı ve yönetim sistemi alanlarının tümünde tanımlı politikalar ve bu politikalar doğrultusunda yapılan bazı uygulamalar bulunmaktadır. Kalite güvencesi süreçleri </w:t>
      </w:r>
      <w:r>
        <w:fldChar w:fldCharType="begin"/>
      </w:r>
      <w:r>
        <w:instrText xml:space="preserve"> HYPERLINK "https://saglik.ksu.edu.tr/Default.aspx?SId=21687" </w:instrText>
      </w:r>
      <w:r>
        <w:fldChar w:fldCharType="separate"/>
      </w:r>
      <w:r>
        <w:rPr>
          <w:rStyle w:val="20"/>
          <w:rFonts w:ascii="Times New Roman" w:hAnsi="Times New Roman" w:cs="Times New Roman"/>
          <w:b w:val="0"/>
          <w:bCs w:val="0"/>
          <w:color w:val="auto"/>
          <w:sz w:val="24"/>
          <w:szCs w:val="24"/>
        </w:rPr>
        <w:t>(OD3)</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Akademik Değerlendirme ve Kalite Geliştirme, Stratejik Planlama, Faaliyet Raporu </w:t>
      </w:r>
      <w:r>
        <w:fldChar w:fldCharType="begin"/>
      </w:r>
      <w:r>
        <w:instrText xml:space="preserve"> HYPERLINK "https://sbfftr.ksu.edu.tr/Default.aspx?SId=33530" </w:instrText>
      </w:r>
      <w:r>
        <w:fldChar w:fldCharType="separate"/>
      </w:r>
      <w:r>
        <w:rPr>
          <w:rStyle w:val="20"/>
          <w:rFonts w:ascii="Times New Roman" w:hAnsi="Times New Roman" w:cs="Times New Roman"/>
          <w:b w:val="0"/>
          <w:bCs w:val="0"/>
          <w:color w:val="auto"/>
          <w:sz w:val="24"/>
          <w:szCs w:val="24"/>
        </w:rPr>
        <w:t>(OD3)</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İç Kontrol Standartları Uyum Eylem Planı, İç Değerlendirme ve Ölçme ve İzleme süreçlerinden </w:t>
      </w:r>
      <w:r>
        <w:fldChar w:fldCharType="begin"/>
      </w:r>
      <w:r>
        <w:instrText xml:space="preserve"> HYPERLINK "https://saglik.ksu.edu.tr/Default.aspx?SId=21693"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4472C4" w:themeColor="accent1"/>
          <w:sz w:val="24"/>
          <w:szCs w:val="24"/>
          <w14:textFill>
            <w14:solidFill>
              <w14:schemeClr w14:val="accent1"/>
            </w14:solidFill>
          </w14:textFill>
        </w:rPr>
        <w:t xml:space="preserve"> </w:t>
      </w:r>
      <w:r>
        <w:rPr>
          <w:rFonts w:ascii="Times New Roman" w:hAnsi="Times New Roman" w:cs="Times New Roman"/>
          <w:b w:val="0"/>
          <w:bCs w:val="0"/>
          <w:color w:val="auto"/>
          <w:sz w:val="24"/>
          <w:szCs w:val="24"/>
        </w:rPr>
        <w:t>oluşmaktadır. Fizyoterapi ve Rehabilitasyon bölüm bünyesinde de Sağlık Bilimleri Fakültesi’nin benimsediği kalite politikaları uygulanmaktadır. Düzey 4 olabilmesi için tüm alanlarda çeşitli uygulamalar ve sonuç değerlendirmeleri yapılması hedeflenmektedir.</w:t>
      </w:r>
    </w:p>
    <w:p w14:paraId="5A85340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10E10A1">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rPr>
        <w:t>Kurumda “Hemşirelik bölümü organizasyon şeması” yer almaktadır. Bölümde 19 akademik ve fakülteye bağlı 6 idari personel olmak üzere 25 personel görev yapmaktadır. Bölüm öğretim elemanlarından biri dekan yardımcılığı ve bölüm başkanlığını yürütmektedir. Sağlık Bilimleri Fakültesinin bir dekan Yardımcısı hemşirelikte lisans ve doktora derecesine sahiptir. Fakülte web sayfasında bölümde görev alan tüm akademik ve idari personelin iş tanımı, görev ve sorumlulukları, yetkileri, iş unvanlarını içeren görev analizlerinin yapıldığı görev tanımları bulunmaktadır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"https://sbfhemsirelik.ksu.edu.tr/Default.aspx?SId=32425"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Hemşirelik bölümü faaliyetlerinin verimli bir şekilde yürütülmesi amacıyla özel görev alanlarına yönelik çeşitli komisyonlar oluşturulmuştur. 2024 yılında bünyesinde 'Birim Kalite ve Faaliyet Raporu Komisyonu'nun da yer aldığı toplam 17 komisyon bulunurken, 2025 yılı itibarıyla kurulan 2 yeni komisyonla birlikte toplam komisyon sayısı 19'a yükselmiştir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"https://sbfhemsirelik.ksu.edu.tr/Default.aspx?SId=7792"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"https://drive.google.com/file/d/1MFGKN2xWcPUw7dH3fke7WvfbQUy9TTyP/view?usp=sharing"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"https://drive.google.com/file/d/1qQJL6uATP1Nbja72XUFRfXWLFHvXbNun/view?usp=sharing"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Birim Kalite ve Faaliyet Raporu Komisyonu Fakültenin stratejik planının hazırlanması ve izlenmesi sürecine destek verir. Komisyon üyeleri Bölüm İç Değerlendirme Raporlarındaki verileri ve kanıtları kullanılarak bölüm iç değerlendirme raporlarını hazırlar. Hazırlanan bölüm iç değerlendirme raporları dekanlığa EBYS üzerinden gönderilir. Son olarak bölüm iç değerlendirme raporlarının kamuoyuna duyurulması için bölüm web sayfasına yüklenmek üzere ilgili komisyona gönderilir. Komisyon gerekli hallerde toplanıp kararlar almakta ve toplantı sonuçlarını EBYS üzerinden paydaşlar ile paylaşmaktadır. Kalite kültürünü yaygınlaştırma amacıyla birim kalite komisyonunca toplantılar yapılmaktadır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"https://drive.google.com/file/d/1k7Z8_vECoeA2IrlKttEzVzShc2Eqxhge/view?usp=sharing"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w:t>
      </w:r>
      <w:r>
        <w:rPr>
          <w:rFonts w:hint="default" w:ascii="Times New Roman" w:hAnsi="Times New Roman" w:cs="Times New Roman"/>
          <w:color w:val="auto"/>
          <w:sz w:val="24"/>
          <w:szCs w:val="24"/>
        </w:rPr>
        <w:t xml:space="preserve"> </w:t>
      </w:r>
      <w:r>
        <w:rPr>
          <w:rFonts w:hint="default" w:ascii="Times New Roman" w:hAnsi="Times New Roman" w:cs="Times New Roman"/>
          <w:b w:val="0"/>
          <w:bCs w:val="0"/>
          <w:color w:val="auto"/>
          <w:sz w:val="24"/>
          <w:szCs w:val="24"/>
        </w:rPr>
        <w:t>Söz konusu toplantılar ve planlamalar kapsamında, 2025 yılı içerisinde öğrencilere yönelik bir öğrenci çalıştayı ve mezunların bilgilerini güncellemeyi hedefleyen bir mezun tazelenme eğitimi başarıyla gerçekleştirilmiştir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"https://drive.google.com/file/d/1zLooBELjrYR4GaknVvtlAMuvC4h-1UZk/view?usp=sharing"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OD4,</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"https://drive.google.com/file/d/1BTwGoL1D6M-B5IEgypUPy9_B0vImaYoj/view"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"https://drive.google.com/file/d/1MY2plQNkiZPBlusHhmXnMiYWOuq4EHS1/view"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"https://drive.google.com/file/d/1YEsF34MX5dGQhTdj02osDJxp-ybcVXUs/view"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"https://docs.google.com/document/d/1Xk4K5L6qC2Oh66Tu2a52MtcDnOvB0wI4/edit" \l "heading=h.efc41awasxts"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OD4</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w:t>
      </w:r>
    </w:p>
    <w:p w14:paraId="432A350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62325B4">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Bölümümüze ait web sayfamızda “Fizyoterapi ve Rehabilitasyon Bölümü organizasyon şeması” yer almaktadır. Bölümde 8 akademik, 1 bölüm sekreteri ve fakülteye bağlı 11 idari personel olmak üzere 20 personel görev yapmaktadır. Bölüm öğretim elemanlarından biri bölüm başkanı ve fakülte kurulu üyesi, biri de senato üyesi ve bölüm başkan yardımcılığını yürütmektedir. Fakülte web sayfasında bölümde görev alan tüm akademik ve idari personelin iş tanımı, görev ve sorumlulukları, yetkileri, iş unvanlarını içeren görev analizlerinin yapıldığı görev tanımları bulunmaktadır.</w:t>
      </w:r>
      <w:r>
        <w:rPr>
          <w:rFonts w:hint="default" w:ascii="Times New Roman" w:hAnsi="Times New Roman" w:cs="Times New Roman"/>
          <w:b w:val="0"/>
          <w:bCs w:val="0"/>
          <w:color w:val="auto"/>
          <w:sz w:val="24"/>
          <w:szCs w:val="24"/>
          <w:lang w:val="tr-TR"/>
        </w:rPr>
        <w:t xml:space="preserve"> </w:t>
      </w:r>
      <w:r>
        <w:rPr>
          <w:rFonts w:hint="default" w:ascii="Times New Roman" w:hAnsi="Times New Roman" w:cs="Times New Roman"/>
          <w:b w:val="0"/>
          <w:bCs w:val="0"/>
          <w:color w:val="auto"/>
          <w:sz w:val="24"/>
          <w:szCs w:val="24"/>
        </w:rPr>
        <w:t xml:space="preserve">Fizyoterapi ve Rehabilitasyon bölümünün verimli yürütülmesine yönelik olarak özel görevler için oluşturulmuş komisyonlar bulunmaktadır. </w:t>
      </w:r>
      <w:r>
        <w:rPr>
          <w:rFonts w:hint="default" w:ascii="Times New Roman" w:hAnsi="Times New Roman" w:cs="Times New Roman"/>
          <w:b w:val="0"/>
          <w:bCs w:val="0"/>
          <w:color w:val="auto"/>
          <w:sz w:val="24"/>
          <w:szCs w:val="24"/>
          <w:lang w:val="tr-TR"/>
        </w:rPr>
        <w:t xml:space="preserve"> </w:t>
      </w:r>
      <w:r>
        <w:rPr>
          <w:rFonts w:hint="default" w:ascii="Times New Roman" w:hAnsi="Times New Roman" w:cs="Times New Roman"/>
          <w:b w:val="0"/>
          <w:bCs w:val="0"/>
          <w:color w:val="auto"/>
          <w:sz w:val="24"/>
          <w:szCs w:val="24"/>
        </w:rPr>
        <w:t xml:space="preserve">Bölümde “Birim Kalite ve Faaliyet Raporu Komisyonu”nu içeren toplam 15 komisyon yer almaktadır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"https://sbfftr.ksu.edu.tr/Default.aspx?SId=33672"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color w:val="4472C4" w:themeColor="accent1"/>
          <w:sz w:val="24"/>
          <w:szCs w:val="24"/>
          <w14:textFill>
            <w14:solidFill>
              <w14:schemeClr w14:val="accent1"/>
            </w14:solidFill>
          </w14:textFill>
        </w:rPr>
        <w:t>(OD3)</w:t>
      </w:r>
      <w:r>
        <w:rPr>
          <w:rStyle w:val="20"/>
          <w:rFonts w:hint="default" w:ascii="Times New Roman" w:hAnsi="Times New Roman" w:cs="Times New Roman"/>
          <w:b w:val="0"/>
          <w:bCs w:val="0"/>
          <w:color w:val="4472C4" w:themeColor="accent1"/>
          <w:sz w:val="24"/>
          <w:szCs w:val="24"/>
          <w14:textFill>
            <w14:solidFill>
              <w14:schemeClr w14:val="accent1"/>
            </w14:solidFill>
          </w14:textFill>
        </w:rPr>
        <w:fldChar w:fldCharType="end"/>
      </w:r>
      <w:r>
        <w:rPr>
          <w:rFonts w:hint="default" w:ascii="Times New Roman" w:hAnsi="Times New Roman" w:cs="Times New Roman"/>
          <w:b w:val="0"/>
          <w:bCs w:val="0"/>
          <w:color w:val="auto"/>
          <w:sz w:val="24"/>
          <w:szCs w:val="24"/>
        </w:rPr>
        <w:t xml:space="preserve"> Birim Kalite ve Faaliyet Raporu Komisyonu Fakültenin stratejik planının hazırlanması ve izlenmesi sürecine destek verir. Komisyon üyeleri Bölüm İç Değerlendirme Raporlarındaki verileri ve kanıtları kullanılarak bölüm iç değerlendirme raporlarını hazırlar. Hazırlanan bölüm iç değerlendirme raporları dekanlığa EBYS üzerinden Dekanlığımıza gönderilir. Son olarak bölüm iç değerlendirme raporlarının kamuoyuna duyurulması için bölüm web sayfasına yüklenmek üzere ilgili komisyona gönderilir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"https://sbfftr.ksu.edu.tr/Default.aspx?SId=28306"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color w:val="4472C4" w:themeColor="accent1"/>
          <w:sz w:val="24"/>
          <w:szCs w:val="24"/>
          <w14:textFill>
            <w14:solidFill>
              <w14:schemeClr w14:val="accent1"/>
            </w14:solidFill>
          </w14:textFill>
        </w:rPr>
        <w:t>(OD3)</w:t>
      </w:r>
      <w:r>
        <w:rPr>
          <w:rStyle w:val="20"/>
          <w:rFonts w:hint="default" w:ascii="Times New Roman" w:hAnsi="Times New Roman" w:cs="Times New Roman"/>
          <w:b w:val="0"/>
          <w:bCs w:val="0"/>
          <w:color w:val="4472C4" w:themeColor="accent1"/>
          <w:sz w:val="24"/>
          <w:szCs w:val="24"/>
          <w14:textFill>
            <w14:solidFill>
              <w14:schemeClr w14:val="accent1"/>
            </w14:solidFill>
          </w14:textFill>
        </w:rPr>
        <w:fldChar w:fldCharType="end"/>
      </w:r>
      <w:r>
        <w:rPr>
          <w:rFonts w:hint="default" w:ascii="Times New Roman" w:hAnsi="Times New Roman" w:cs="Times New Roman"/>
          <w:b w:val="0"/>
          <w:bCs w:val="0"/>
          <w:color w:val="auto"/>
          <w:sz w:val="24"/>
          <w:szCs w:val="24"/>
        </w:rPr>
        <w:t>. Komisyon gerekli hallerde toplanıp kararla</w:t>
      </w:r>
      <w:r>
        <w:rPr>
          <w:rFonts w:hint="default" w:ascii="Times New Roman" w:hAnsi="Times New Roman" w:cs="Times New Roman"/>
          <w:b w:val="0"/>
          <w:bCs w:val="0"/>
          <w:color w:val="auto"/>
          <w:sz w:val="24"/>
          <w:szCs w:val="24"/>
          <w:lang w:val="tr-TR"/>
        </w:rPr>
        <w:t>r</w:t>
      </w:r>
      <w:r>
        <w:rPr>
          <w:rFonts w:hint="default" w:ascii="Times New Roman" w:hAnsi="Times New Roman" w:cs="Times New Roman"/>
          <w:b w:val="0"/>
          <w:bCs w:val="0"/>
          <w:color w:val="auto"/>
          <w:sz w:val="24"/>
          <w:szCs w:val="24"/>
        </w:rPr>
        <w:t xml:space="preserve"> almakta ve toplantı sonuçlarını</w:t>
      </w:r>
      <w:r>
        <w:rPr>
          <w:rFonts w:hint="default" w:ascii="Times New Roman" w:hAnsi="Times New Roman" w:cs="Times New Roman"/>
          <w:b w:val="0"/>
          <w:bCs w:val="0"/>
          <w:color w:val="auto"/>
          <w:sz w:val="24"/>
          <w:szCs w:val="24"/>
          <w:lang w:val="tr-TR"/>
        </w:rPr>
        <w:t xml:space="preserve"> </w:t>
      </w:r>
      <w:r>
        <w:rPr>
          <w:rFonts w:hint="default" w:ascii="Times New Roman" w:hAnsi="Times New Roman" w:cs="Times New Roman"/>
          <w:b w:val="0"/>
          <w:bCs w:val="0"/>
          <w:color w:val="auto"/>
          <w:sz w:val="24"/>
          <w:szCs w:val="24"/>
        </w:rPr>
        <w:t>EBYSüzerinden paydaşlar ile paylaşmaktadır.</w:t>
      </w:r>
    </w:p>
    <w:p w14:paraId="48E53473">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Kalite kültürünü yaygınlaştırma amacıyla birim kalite komisyonunca toplantılar yapılmaktadır. Bu toplantılar kapsamında iç-dış paydaş iletişim gruplarının kurulması, öğrenci çalıştaylarının planlanması gibi alınan kararlar çerçevesinde kalite kültürünün yaygınlaştırılması hedeflenmektedir.</w:t>
      </w:r>
    </w:p>
    <w:p w14:paraId="10418C5C">
      <w:pPr>
        <w:pStyle w:val="2"/>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tr-TR"/>
        </w:rPr>
        <w:t>E</w:t>
      </w:r>
      <w:r>
        <w:rPr>
          <w:rFonts w:ascii="Times New Roman" w:hAnsi="Times New Roman" w:cs="Times New Roman"/>
          <w:b/>
          <w:bCs/>
          <w:color w:val="auto"/>
          <w:sz w:val="24"/>
          <w:szCs w:val="24"/>
        </w:rPr>
        <w:t>belik</w:t>
      </w:r>
    </w:p>
    <w:p w14:paraId="67379613">
      <w:pPr>
        <w:pStyle w:val="2"/>
        <w:spacing w:line="360" w:lineRule="auto"/>
        <w:rPr>
          <w:rFonts w:hint="default" w:ascii="Times New Roman" w:hAnsi="Times New Roman" w:eastAsia="Times New Roman" w:cs="Times New Roman"/>
          <w:b w:val="0"/>
          <w:bCs w:val="0"/>
          <w:sz w:val="24"/>
          <w:szCs w:val="24"/>
        </w:rPr>
      </w:pPr>
      <w:r>
        <w:rPr>
          <w:rFonts w:hint="default" w:ascii="Times New Roman" w:hAnsi="Times New Roman" w:eastAsia="Times New Roman" w:cs="Times New Roman"/>
          <w:b w:val="0"/>
          <w:bCs w:val="0"/>
          <w:color w:val="000000"/>
          <w:sz w:val="24"/>
          <w:szCs w:val="24"/>
        </w:rPr>
        <w:t>Kurumda “Ebelik bölümü organizasyon şeması” yer almaktadır. Bölümde 9 akademik ve fakülteye bağlı 6 idari personel olmak üzere 15 personel görev yapmaktadır. Fakülte web sayfasında bölümde görev alan tüm akademik ve idari personelin iş tanımı, görev ve sorumlulukları, yetkileri, iş unvanlarını içeren görev analizlerinin yapıldığı görev tanımları bulunmaktadır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"https://sbfebelik.ksu.edu.tr/Default.aspx?SId=33492" \h </w:instrText>
      </w:r>
      <w:r>
        <w:rPr>
          <w:rFonts w:hint="default" w:ascii="Times New Roman" w:hAnsi="Times New Roman" w:cs="Times New Roman"/>
          <w:b w:val="0"/>
          <w:bCs w:val="0"/>
          <w:sz w:val="24"/>
          <w:szCs w:val="24"/>
        </w:rPr>
        <w:fldChar w:fldCharType="separate"/>
      </w:r>
      <w:r>
        <w:rPr>
          <w:rFonts w:hint="default" w:ascii="Times New Roman" w:hAnsi="Times New Roman" w:eastAsia="Times New Roman" w:cs="Times New Roman"/>
          <w:b w:val="0"/>
          <w:bCs w:val="0"/>
          <w:color w:val="1155CC"/>
          <w:sz w:val="24"/>
          <w:szCs w:val="24"/>
          <w:u w:val="single"/>
        </w:rPr>
        <w:t>OD3</w:t>
      </w:r>
      <w:r>
        <w:rPr>
          <w:rFonts w:hint="default" w:ascii="Times New Roman" w:hAnsi="Times New Roman" w:eastAsia="Times New Roman" w:cs="Times New Roman"/>
          <w:b w:val="0"/>
          <w:bCs w:val="0"/>
          <w:color w:val="1155CC"/>
          <w:sz w:val="24"/>
          <w:szCs w:val="24"/>
          <w:u w:val="single"/>
        </w:rPr>
        <w:fldChar w:fldCharType="end"/>
      </w:r>
      <w:r>
        <w:rPr>
          <w:rFonts w:hint="default" w:ascii="Times New Roman" w:hAnsi="Times New Roman" w:eastAsia="Times New Roman" w:cs="Times New Roman"/>
          <w:b w:val="0"/>
          <w:bCs w:val="0"/>
          <w:color w:val="000000"/>
          <w:sz w:val="24"/>
          <w:szCs w:val="24"/>
        </w:rPr>
        <w:t xml:space="preserve">,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"https://sbfebelik.ksu.edu.tr/Default.aspx?SId=33493" \h </w:instrText>
      </w:r>
      <w:r>
        <w:rPr>
          <w:rFonts w:hint="default" w:ascii="Times New Roman" w:hAnsi="Times New Roman" w:cs="Times New Roman"/>
          <w:b w:val="0"/>
          <w:bCs w:val="0"/>
          <w:sz w:val="24"/>
          <w:szCs w:val="24"/>
        </w:rPr>
        <w:fldChar w:fldCharType="separate"/>
      </w:r>
      <w:r>
        <w:rPr>
          <w:rFonts w:hint="default" w:ascii="Times New Roman" w:hAnsi="Times New Roman" w:eastAsia="Times New Roman" w:cs="Times New Roman"/>
          <w:b w:val="0"/>
          <w:bCs w:val="0"/>
          <w:color w:val="1155CC"/>
          <w:sz w:val="24"/>
          <w:szCs w:val="24"/>
          <w:u w:val="single"/>
        </w:rPr>
        <w:t>OD3</w:t>
      </w:r>
      <w:r>
        <w:rPr>
          <w:rFonts w:hint="default" w:ascii="Times New Roman" w:hAnsi="Times New Roman" w:eastAsia="Times New Roman" w:cs="Times New Roman"/>
          <w:b w:val="0"/>
          <w:bCs w:val="0"/>
          <w:color w:val="1155CC"/>
          <w:sz w:val="24"/>
          <w:szCs w:val="24"/>
          <w:u w:val="single"/>
        </w:rPr>
        <w:fldChar w:fldCharType="end"/>
      </w:r>
      <w:r>
        <w:rPr>
          <w:rFonts w:hint="default" w:ascii="Times New Roman" w:hAnsi="Times New Roman" w:eastAsia="Times New Roman" w:cs="Times New Roman"/>
          <w:b w:val="0"/>
          <w:bCs w:val="0"/>
          <w:color w:val="000000"/>
          <w:sz w:val="24"/>
          <w:szCs w:val="24"/>
        </w:rPr>
        <w:t>) Ebelik bölümü faaliyetlerinin verimli bir şekilde yürütülmesi amacıyla özel görev alanlarına yönelik çeşitli komisyonlar oluşturulmuştur. 2025 yılında bünyesinde 'Birim Kalite ve Faaliyet Raporu Komisyonu'nun da yer aldığı toplam toplam komisyon sayısı 16'dır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"https://sbfebelik.ksu.edu.tr/Default.aspx?SId=7791" \h </w:instrText>
      </w:r>
      <w:r>
        <w:rPr>
          <w:rFonts w:hint="default" w:ascii="Times New Roman" w:hAnsi="Times New Roman" w:cs="Times New Roman"/>
          <w:b w:val="0"/>
          <w:bCs w:val="0"/>
          <w:sz w:val="24"/>
          <w:szCs w:val="24"/>
        </w:rPr>
        <w:fldChar w:fldCharType="separate"/>
      </w:r>
      <w:r>
        <w:rPr>
          <w:rFonts w:hint="default" w:ascii="Times New Roman" w:hAnsi="Times New Roman" w:eastAsia="Times New Roman" w:cs="Times New Roman"/>
          <w:b w:val="0"/>
          <w:bCs w:val="0"/>
          <w:color w:val="1155CC"/>
          <w:sz w:val="24"/>
          <w:szCs w:val="24"/>
          <w:u w:val="single"/>
        </w:rPr>
        <w:t>OD3</w:t>
      </w:r>
      <w:r>
        <w:rPr>
          <w:rFonts w:hint="default" w:ascii="Times New Roman" w:hAnsi="Times New Roman" w:eastAsia="Times New Roman" w:cs="Times New Roman"/>
          <w:b w:val="0"/>
          <w:bCs w:val="0"/>
          <w:color w:val="1155CC"/>
          <w:sz w:val="24"/>
          <w:szCs w:val="24"/>
          <w:u w:val="single"/>
        </w:rPr>
        <w:fldChar w:fldCharType="end"/>
      </w:r>
      <w:r>
        <w:rPr>
          <w:rFonts w:hint="default" w:ascii="Times New Roman" w:hAnsi="Times New Roman" w:eastAsia="Times New Roman" w:cs="Times New Roman"/>
          <w:b w:val="0"/>
          <w:bCs w:val="0"/>
          <w:color w:val="000000"/>
          <w:sz w:val="24"/>
          <w:szCs w:val="24"/>
        </w:rPr>
        <w:t>). Birim Kalite ve Faaliyet Raporu Komisyonu Fakültenin stratejik planının hazırlanması ve izlenmesi sürecine destek verir. Komisyon üyeleri Bölüm İç Değerlendirme Raporlarındaki verileri ve kanıtları kullanılarak bölüm iç değerlendirme raporlarını hazırlar. Hazırlanan bölüm iç değerlendirme raporları dekanlığa EBYS üzerinden gönderilir. Son olarak bölüm iç değerlendirme raporlarının kamuoyuna duyurulması için bölüm web sayfasına yüklenmek üzere ilgili komisyona gönderilir. Komisyon gerekli hallerde toplanıp kararlar almakta ve toplantı sonuçlarını EBYS üzerinden paydaşlar ile paylaşmaktadır. Kalite kültürünü yaygınlaştırma amacıyla birim kalite komisyonunca toplantılar yapılmaktadır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ebys.ksu.edu.tr/enVision/DocumentModule/DOC_Document.aspx?value=QEVV9UQS4DYO0jUMmTcOM0FQEEVTPlJRGVdTmTEPGERUX1JTE1JTmTAP0mVUuXJdMVJVuS4Pv1BLhnRchC5b43BcGEVR9UQSmDMO9UQS2TIMwjkMmzYNHEFUZVRR9EUUXyZMEklR3TEPXSZMYkVRJUNRxD0R2TYMxjMNXyZMYkVRTUNR&amp;TaskRecurrenceID=26649653" \h </w:instrText>
      </w:r>
      <w:r>
        <w:rPr>
          <w:rFonts w:hint="default" w:ascii="Times New Roman" w:hAnsi="Times New Roman" w:cs="Times New Roman"/>
          <w:b w:val="0"/>
          <w:bCs w:val="0"/>
          <w:sz w:val="24"/>
          <w:szCs w:val="24"/>
        </w:rPr>
        <w:fldChar w:fldCharType="separate"/>
      </w:r>
      <w:r>
        <w:rPr>
          <w:rFonts w:hint="default" w:ascii="Times New Roman" w:hAnsi="Times New Roman" w:eastAsia="Times New Roman" w:cs="Times New Roman"/>
          <w:b w:val="0"/>
          <w:bCs w:val="0"/>
          <w:color w:val="1155CC"/>
          <w:sz w:val="24"/>
          <w:szCs w:val="24"/>
          <w:u w:val="single"/>
        </w:rPr>
        <w:t>OD3</w:t>
      </w:r>
      <w:r>
        <w:rPr>
          <w:rFonts w:hint="default" w:ascii="Times New Roman" w:hAnsi="Times New Roman" w:eastAsia="Times New Roman" w:cs="Times New Roman"/>
          <w:b w:val="0"/>
          <w:bCs w:val="0"/>
          <w:color w:val="1155CC"/>
          <w:sz w:val="24"/>
          <w:szCs w:val="24"/>
          <w:u w:val="single"/>
        </w:rPr>
        <w:fldChar w:fldCharType="end"/>
      </w:r>
      <w:r>
        <w:rPr>
          <w:rFonts w:hint="default" w:ascii="Times New Roman" w:hAnsi="Times New Roman" w:eastAsia="Times New Roman" w:cs="Times New Roman"/>
          <w:b w:val="0"/>
          <w:bCs w:val="0"/>
          <w:color w:val="000000"/>
          <w:sz w:val="24"/>
          <w:szCs w:val="24"/>
        </w:rPr>
        <w:t xml:space="preserve">). </w:t>
      </w:r>
    </w:p>
    <w:p w14:paraId="56EC144E">
      <w:pPr>
        <w:pStyle w:val="2"/>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A.1.5. Kamuoyunu bilgilendirme ve hesap verebilirlik </w:t>
      </w:r>
    </w:p>
    <w:p w14:paraId="33558545">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SBF’de kamuoyunu bilgilendirmek üzere birim ve bölüm WEB anasayfaları aktif olarak kullanılmaktadır. Ayrıca anasayfalar ingilizce olarak da güncellenmiştir. Fakültemizde hem fakülte hem de bölümlerin sosyal medya hesapları bulunmakta ve aktif paylaşımlar yapılmaktadır. </w:t>
      </w:r>
    </w:p>
    <w:p w14:paraId="4B2D1CC9">
      <w:pPr>
        <w:pStyle w:val="2"/>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Hemşirelik</w:t>
      </w:r>
    </w:p>
    <w:p w14:paraId="789B82C7">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SBF Hemşirelik bölümü anasayfası sürekli güncel tutularak kamuoyu bilgilendirilmektedir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"https://sbfhemsirelik.ksu.edu.tr/" \h </w:instrText>
      </w:r>
      <w:r>
        <w:rPr>
          <w:rFonts w:hint="default" w:ascii="Times New Roman" w:hAnsi="Times New Roman" w:cs="Times New Roman"/>
          <w:b w:val="0"/>
          <w:bCs w:val="0"/>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Hemşirelik bölümünün kendine ait bir WEP sayfası (Türkçe ve İngilizce dilde) ve Wep sayfasından sorumlu WEP Komisyonu bulunmaktadır. Wep komisyonu wep sayfasının doğru, güncel ilgili ve kolay erişilebilir bilgi vermesi için gerekli takip ve düzenlemeleri yapmaktadır. Komisyon üyeleri yapmış oldukları düzenlemeleri toplantı tutanakları halinde EBYS aracılığıyla bölüm başkanlığına iletmektedir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"https://drive.google.com/file/d/19-WfskFnZHIzC3ydb9KJl4hRE-_zTZiU/view?usp=sharing" \h </w:instrText>
      </w:r>
      <w:r>
        <w:rPr>
          <w:rFonts w:hint="default" w:ascii="Times New Roman" w:hAnsi="Times New Roman" w:cs="Times New Roman"/>
          <w:b w:val="0"/>
          <w:bCs w:val="0"/>
          <w:sz w:val="24"/>
          <w:szCs w:val="24"/>
        </w:rPr>
        <w:fldChar w:fldCharType="separate"/>
      </w:r>
      <w:r>
        <w:rPr>
          <w:rStyle w:val="20"/>
          <w:rFonts w:hint="default" w:ascii="Times New Roman" w:hAnsi="Times New Roman" w:cs="Times New Roman"/>
          <w:b w:val="0"/>
          <w:bCs w:val="0"/>
          <w:sz w:val="24"/>
          <w:szCs w:val="24"/>
        </w:rPr>
        <w:t>OD4</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w:t>
      </w:r>
    </w:p>
    <w:p w14:paraId="1CB63199">
      <w:pPr>
        <w:pStyle w:val="2"/>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Fizyoterapi ve Rehabilitasyon</w:t>
      </w:r>
    </w:p>
    <w:p w14:paraId="73A03D25">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Fizyoterapi ve Rehabilitasyon bölümünün kendine ait bir WEB sayfası (Türkçe ve İngilizce dilde) ve Web sayfasından sorumlu “WEB Komisyonu” bulunmaktadır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"https://sbfftr.ksu.edu.tr/Default.aspx?SId=33672" </w:instrText>
      </w:r>
      <w:r>
        <w:rPr>
          <w:rFonts w:hint="default" w:ascii="Times New Roman" w:hAnsi="Times New Roman" w:cs="Times New Roman"/>
          <w:b w:val="0"/>
          <w:bCs w:val="0"/>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color w:val="auto"/>
          <w:sz w:val="24"/>
          <w:szCs w:val="24"/>
        </w:rPr>
        <w:t xml:space="preserve">Fizyoterapi ve Rehabilitasyon bölümü web sayfasında güncel duyurular ve toplumsal katkı ya da kamuoyu bilgilendirmeleri yapılmaktadır. FTR bölüm bünyesinde çeşitli dış paydaş işbirlikleri yapılarak, toplumsal katkı sağlayacak etkinlikler düzenlenmiştir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"https://sbfftr.ksu.edu.tr/" </w:instrText>
      </w:r>
      <w:r>
        <w:rPr>
          <w:rFonts w:hint="default" w:ascii="Times New Roman" w:hAnsi="Times New Roman" w:cs="Times New Roman"/>
          <w:b w:val="0"/>
          <w:bCs w:val="0"/>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color w:val="auto"/>
          <w:sz w:val="24"/>
          <w:szCs w:val="24"/>
        </w:rPr>
        <w:t>Ancak kurumun bölgesindeki dış paydaşları, ilişkili olduğu yerel yönetimler, diğer üniversiteler, kamu kurumu kuruluşları, sivil toplum kuruluşları, sanayi ve yerel halk ile ilişkileri ile ilgili sistematik değerlendirme mekanizmaları henüz yoktur.</w:t>
      </w:r>
    </w:p>
    <w:p w14:paraId="1499879C">
      <w:pPr>
        <w:pStyle w:val="2"/>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Ebelik</w:t>
      </w:r>
    </w:p>
    <w:p w14:paraId="0812900E">
      <w:pPr>
        <w:pStyle w:val="2"/>
        <w:spacing w:after="240" w:line="360" w:lineRule="auto"/>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rPr>
        <w:t>SBF Ebelik bölümü ana sayfası sürekli güncel tutularak kamuoyu bilgilendirilmektedir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"https://sbfebelik.ksu.edu.tr/" \h </w:instrText>
      </w:r>
      <w:r>
        <w:rPr>
          <w:rFonts w:hint="default" w:ascii="Times New Roman" w:hAnsi="Times New Roman" w:cs="Times New Roman"/>
          <w:b w:val="0"/>
          <w:bCs w:val="0"/>
          <w:sz w:val="24"/>
          <w:szCs w:val="24"/>
        </w:rPr>
        <w:fldChar w:fldCharType="separate"/>
      </w:r>
      <w:r>
        <w:rPr>
          <w:rFonts w:hint="default" w:ascii="Times New Roman" w:hAnsi="Times New Roman" w:cs="Times New Roman"/>
          <w:b w:val="0"/>
          <w:bCs w:val="0"/>
          <w:color w:val="1155CC"/>
          <w:sz w:val="24"/>
          <w:szCs w:val="24"/>
          <w:u w:val="single"/>
        </w:rPr>
        <w:t>OD3</w:t>
      </w:r>
      <w:r>
        <w:rPr>
          <w:rFonts w:hint="default" w:ascii="Times New Roman" w:hAnsi="Times New Roman" w:cs="Times New Roman"/>
          <w:b w:val="0"/>
          <w:bCs w:val="0"/>
          <w:color w:val="1155CC"/>
          <w:sz w:val="24"/>
          <w:szCs w:val="24"/>
          <w:u w:val="single"/>
        </w:rPr>
        <w:fldChar w:fldCharType="end"/>
      </w:r>
      <w:r>
        <w:rPr>
          <w:rFonts w:hint="default" w:ascii="Times New Roman" w:hAnsi="Times New Roman" w:cs="Times New Roman"/>
          <w:b w:val="0"/>
          <w:bCs w:val="0"/>
          <w:color w:val="000000"/>
          <w:sz w:val="24"/>
          <w:szCs w:val="24"/>
        </w:rPr>
        <w:t>). Ebelikk bölümünün kendine ait bir WEB sayfası (Türkçe ve İngilizce dilde) ve Web sayfasından sorumlu WEB Komisyonu bulunmaktadır. Web komisyonu web sayfasının doğru, güncel ilgili ve kolay erişilebilir bilgi vermesi için gerekli takip ve düzenlemeleri yapmaktadır. Komisyon üyeleri yapmış oldukları düzenlemeleri toplantı tutanakları halinde EBYS aracılığıyla bölüm başkanlığına iletmektedir (</w:t>
      </w: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"https://drive.google.com/drive/folders/1G3S7WQBZwhJzdkwONu3ORVqEhqlrdOj2" \h </w:instrText>
      </w:r>
      <w:r>
        <w:rPr>
          <w:rFonts w:hint="default" w:ascii="Times New Roman" w:hAnsi="Times New Roman" w:cs="Times New Roman"/>
          <w:b w:val="0"/>
          <w:bCs w:val="0"/>
          <w:sz w:val="24"/>
          <w:szCs w:val="24"/>
        </w:rPr>
        <w:fldChar w:fldCharType="separate"/>
      </w:r>
      <w:r>
        <w:rPr>
          <w:rFonts w:hint="default" w:ascii="Times New Roman" w:hAnsi="Times New Roman" w:cs="Times New Roman"/>
          <w:b w:val="0"/>
          <w:bCs w:val="0"/>
          <w:color w:val="1155CC"/>
          <w:sz w:val="24"/>
          <w:szCs w:val="24"/>
          <w:u w:val="single"/>
        </w:rPr>
        <w:t>OD4</w:t>
      </w:r>
      <w:r>
        <w:rPr>
          <w:rFonts w:hint="default" w:ascii="Times New Roman" w:hAnsi="Times New Roman" w:cs="Times New Roman"/>
          <w:b w:val="0"/>
          <w:bCs w:val="0"/>
          <w:color w:val="1155CC"/>
          <w:sz w:val="24"/>
          <w:szCs w:val="24"/>
          <w:u w:val="single"/>
        </w:rPr>
        <w:fldChar w:fldCharType="end"/>
      </w:r>
      <w:r>
        <w:rPr>
          <w:rFonts w:hint="default" w:ascii="Times New Roman" w:hAnsi="Times New Roman" w:cs="Times New Roman"/>
          <w:b w:val="0"/>
          <w:bCs w:val="0"/>
          <w:color w:val="000000"/>
          <w:sz w:val="24"/>
          <w:szCs w:val="24"/>
        </w:rPr>
        <w:t>).</w:t>
      </w:r>
    </w:p>
    <w:p w14:paraId="1CB41AAB">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A.2.1. Misyon, vizyon ve politikalar </w:t>
      </w:r>
    </w:p>
    <w:p w14:paraId="0E47094E">
      <w:pPr>
        <w:widowControl/>
        <w:spacing w:before="4" w:line="360" w:lineRule="auto"/>
        <w:ind w:right="9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Sağlık bilimleri Fakültesi’nin benimsediği kalite güvence politikası bulunmaktadır. Buna göre kalite güvencesi süreçleri; Akademik Değerlendirme ve Kalite Geliştirme, Stratejik Planlama, Faaliyet Raporu, İç Kontrol Standartları Uyum Eylem Planı, İç Değerlendirme ve Ölçme ve İzleme süreçlerinden oluşmaktadır. Bu süreç kapsamında ADEK; Fakültemiz stratejik planı ve hedefleri doğrultusunda, akademik ve idari hizmetlerin değerlendirilmesi, kalitesinin geliştirilmesi ve kalite düzeyinin belirlenip onaylanması için 2025 yılI içerisinde düzenli olarak anketler yapmış, akademik ve idari personelin performans göstergelerini ölçerek değerlendirmelerde bulunmuştur. Ayrıca bu anketler kapsamında, öğrencilere de memnuniyet anketleri yapılarak; başta eğitim, sosyal faaliyetler olmak üzere üniversite ile ilgili memnuniyet dereceleri ölçülmeye çalışılmıştır. </w:t>
      </w:r>
    </w:p>
    <w:p w14:paraId="6A2BEF0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FA31D48">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Hemşirelik Bölümünde; vizyon, misyon ve amaçlar belirlenmiştir. Bunlar bölüm web sayfasında paylaşılmıştır. Birimin politikaları doğrultusunda stratejik amaçlarını ve hedeflerini planlanmıştır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"https://sbfhemsirelik.ksu.edu.tr/Default.aspx?SId=32335"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"https://sbfhemsirelik.ksu.edu.tr/Default.aspx?SId=32352"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Bölümde 23 Temmuz 2015 tarihli ve 29423 sayılı Resmi Gazetede yayımlanan “Yükseköğretim Kalite Güvencesi Yönetmeliği ”ne dayanılarak “KSÜ Kalite Komisyonu Çalışma Usul ve Esasları” gereği Hemşirelik Bölümü Kalite Komisyonu oluşturulmuş ve kurum içi iç değerlendirmeleri bölüm bazında yıllık olarak yapılmaktadır. Üniversitenin stratejik planı ve hedefleri doğrultusunda, akademik ve idari hizmetlerin değerlendirilmesi, kalitenin geliştirilmesi ve akreditasyon sürecinde yapılacak her türlü çalışılmanın ilgili birimde yürütülmesini gibi faaliyetler yapılmaktadır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"https://sbfhemsirelik.ksu.edu.tr/depo/belgeler/3-birim%20kalite%20komisyonu%20g%C3%B6rev%20tan%C4%B1m%C4%B1_2506031017145992.pdf"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Birim kalite komisyonu iş akış şeması bulunmaktadır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"https://sbfhemsirelik.ksu.edu.tr/depo/belgeler/KAL%C4%B0TE%20KOM%C4%B0SYONU%20%C4%B0%C5%9E%20AKI%C5%9E%20%C5%9EEMASI_2412072025279186.pdf"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Bölüm bazında Birim İç Değerlendirme Raporları yıllık olarak hazırlanmakta ve paydaşlar ile paylaşılmaktadır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"https://sbfhemsirelik.ksu.edu.tr/depo/belgeler/FAAL%C4%B0YET%20RAPORU%202024HEM%C5%9E%C4%B0REL%C4%B0K1162304486922%20(1)_2502131545079353.pdf"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p>
    <w:p w14:paraId="327E12C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488DDFDD">
      <w:pPr>
        <w:widowControl/>
        <w:spacing w:before="1" w:line="360" w:lineRule="auto"/>
        <w:ind w:right="103"/>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Fizyoterapi ve Rehabilitasyon bölümünün misyon, vizyon ve politikaları belirlenerek, bölümün web sayfasında duy</w:t>
      </w:r>
      <w:r>
        <w:rPr>
          <w:rFonts w:hint="default" w:ascii="Times New Roman" w:hAnsi="Times New Roman" w:eastAsia="Times New Roman" w:cs="Times New Roman"/>
          <w:color w:val="000000"/>
          <w:sz w:val="24"/>
          <w:szCs w:val="24"/>
          <w:lang w:val="tr-TR"/>
        </w:rPr>
        <w:t>u</w:t>
      </w:r>
      <w:r>
        <w:rPr>
          <w:rFonts w:ascii="Times New Roman" w:hAnsi="Times New Roman" w:eastAsia="Times New Roman" w:cs="Times New Roman"/>
          <w:color w:val="000000"/>
          <w:sz w:val="24"/>
          <w:szCs w:val="24"/>
        </w:rPr>
        <w:t>rulmuştur</w:t>
      </w:r>
      <w:r>
        <w:rPr>
          <w:rFonts w:hint="default" w:ascii="Times New Roman" w:hAnsi="Times New Roman" w:eastAsia="Times New Roman" w:cs="Times New Roman"/>
          <w:color w:val="000000"/>
          <w:sz w:val="24"/>
          <w:szCs w:val="24"/>
          <w:lang w:val="tr-TR"/>
        </w:rPr>
        <w:t xml:space="preserve"> </w:t>
      </w:r>
      <w:r>
        <w:fldChar w:fldCharType="begin"/>
      </w:r>
      <w:r>
        <w:instrText xml:space="preserve"> HYPERLINK "https://sbfftr.ksu.edu.tr/Default.aspx?SId=21454"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29A2FBF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489165F">
      <w:pPr>
        <w:pStyle w:val="2"/>
        <w:spacing w:after="240"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Ebelik Bölümünde; vizyon, misyon ve amaçlar belirlenmiştir. Bunlar bölüm web sayfasında paylaşılmıştır. Birimin politikaları doğrultusunda stratejik amaçlarını ve hedeflerini planlanmıştır (</w:t>
      </w:r>
      <w:r>
        <w:fldChar w:fldCharType="begin"/>
      </w:r>
      <w:r>
        <w:instrText xml:space="preserve"> HYPERLINK "https://sbfebelik.ksu.edu.tr/Default.aspx?SId=32306"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xml:space="preserve"> </w:t>
      </w:r>
      <w:r>
        <w:fldChar w:fldCharType="begin"/>
      </w:r>
      <w:r>
        <w:instrText xml:space="preserve"> HYPERLINK "https://sbfebelik.ksu.edu.tr/Default.aspx?SId=32293"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Bölümde 23 Temmuz 2015 tarihli ve 29423 sayılı Resmi Gazetede yayımlanan “Yükseköğretim Kalite Güvencesi Yönetmeliği ”ne dayanılarak “KSÜ Kalite Komisyonu Çalışma Usul ve Esasları” gereği Ebelik Bölümü Kalite Komisyonu oluşturulmuş ve kurum içi iç değerlendirmeleri bölüm bazında yıllık olarak yapılmaktadır. Üniversitenin stratejik planı ve hedefleri doğrultusunda, akademik ve idari hizmetlerin değerlendirilmesi, kalitenin geliştirilmesi ve akreditasyon sürecinde yapılacak her türlü çalışılmanın ilgili birimde yürütülmesini gibi faaliyetler yapılmaktadır (</w:t>
      </w:r>
      <w:r>
        <w:fldChar w:fldCharType="begin"/>
      </w:r>
      <w:r>
        <w:instrText xml:space="preserve"> HYPERLINK "https://sbfhemsirelik.ksu.edu.tr/depo/belgeler/3-birim%20kalite%20komisyonu%20g%C3%B6rev%20tan%C4%B1m%C4%B1_2506031017145992.pdf" \h </w:instrText>
      </w:r>
      <w:r>
        <w:fldChar w:fldCharType="separate"/>
      </w:r>
      <w:r>
        <w:rPr>
          <w:rFonts w:ascii="Times New Roman" w:hAnsi="Times New Roman" w:cs="Times New Roman"/>
          <w:b w:val="0"/>
          <w:bCs w:val="0"/>
          <w:color w:val="0563C1"/>
          <w:sz w:val="24"/>
          <w:szCs w:val="24"/>
          <w:u w:val="single"/>
        </w:rPr>
        <w:t>OD3</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Birim kalite komisyonu iş akış şeması bulunmaktadır (</w:t>
      </w:r>
      <w:r>
        <w:fldChar w:fldCharType="begin"/>
      </w:r>
      <w:r>
        <w:instrText xml:space="preserve"> HYPERLINK "https://sbfhemsirelik.ksu.edu.tr/depo/belgeler/KAL%C4%B0TE%20KOM%C4%B0SYONU%20%C4%B0%C5%9E%20AKI%C5%9E%20%C5%9EEMASI_2412072025279186.pdf" \h </w:instrText>
      </w:r>
      <w:r>
        <w:fldChar w:fldCharType="separate"/>
      </w:r>
      <w:r>
        <w:rPr>
          <w:rFonts w:ascii="Times New Roman" w:hAnsi="Times New Roman" w:cs="Times New Roman"/>
          <w:b w:val="0"/>
          <w:bCs w:val="0"/>
          <w:color w:val="0563C1"/>
          <w:sz w:val="24"/>
          <w:szCs w:val="24"/>
          <w:u w:val="single"/>
        </w:rPr>
        <w:t>OD3</w:t>
      </w:r>
      <w:r>
        <w:rPr>
          <w:rFonts w:ascii="Times New Roman" w:hAnsi="Times New Roman" w:cs="Times New Roman"/>
          <w:b w:val="0"/>
          <w:bCs w:val="0"/>
          <w:color w:val="0563C1"/>
          <w:sz w:val="24"/>
          <w:szCs w:val="24"/>
          <w:u w:val="single"/>
        </w:rPr>
        <w:fldChar w:fldCharType="end"/>
      </w:r>
      <w:r>
        <w:rPr>
          <w:rFonts w:ascii="Times New Roman" w:hAnsi="Times New Roman" w:cs="Times New Roman"/>
          <w:b w:val="0"/>
          <w:bCs w:val="0"/>
          <w:color w:val="000000"/>
          <w:sz w:val="24"/>
          <w:szCs w:val="24"/>
        </w:rPr>
        <w:t>). Bölüm bazında Birim İç Değerlendirme Raporları yıllık olarak hazırlanmakta ve paydaşlar ile paylaşılmaktadır (</w:t>
      </w:r>
      <w:r>
        <w:fldChar w:fldCharType="begin"/>
      </w:r>
      <w:r>
        <w:instrText xml:space="preserve"> HYPERLINK "https://sbfebelik.ksu.edu.tr/Default.aspx?SId=33499"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xml:space="preserve">). </w:t>
      </w:r>
    </w:p>
    <w:p w14:paraId="1E11FC5B">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A.2.2. Stratejik amaç ve hedefler </w:t>
      </w:r>
    </w:p>
    <w:p w14:paraId="03414B48">
      <w:pPr>
        <w:pStyle w:val="2"/>
        <w:spacing w:line="360" w:lineRule="auto"/>
        <w:rPr>
          <w:rFonts w:ascii="Times New Roman" w:hAnsi="Times New Roman" w:cs="Times New Roman"/>
          <w:b w:val="0"/>
          <w:bCs w:val="0"/>
          <w:sz w:val="24"/>
          <w:szCs w:val="24"/>
        </w:rPr>
      </w:pPr>
      <w:r>
        <w:rPr>
          <w:rFonts w:ascii="Times New Roman" w:hAnsi="Times New Roman" w:cs="Times New Roman"/>
          <w:b w:val="0"/>
          <w:bCs w:val="0"/>
          <w:color w:val="auto"/>
          <w:sz w:val="24"/>
          <w:szCs w:val="24"/>
        </w:rPr>
        <w:t>Kahramanmaraş Sütçü İmam Üniversitesi bünyesinde 2023-2027 yılı Stratejik planı bulunmaktadır. Bu kapsamda mevcut dönemi kapsayan, kısa/orta uzun vadeli amaçlar, hedefler, alt hedefler, eylemler ve bunların zamanlaması, önceliklendirilmesi, sorumluları, mali kaynaklar mevcuttur</w:t>
      </w:r>
      <w:r>
        <w:rPr>
          <w:rFonts w:ascii="Times New Roman" w:hAnsi="Times New Roman" w:cs="Times New Roman"/>
          <w:color w:val="auto"/>
          <w:sz w:val="24"/>
          <w:szCs w:val="24"/>
        </w:rPr>
        <w:t xml:space="preserve"> </w:t>
      </w:r>
      <w:r>
        <w:fldChar w:fldCharType="begin"/>
      </w:r>
      <w:r>
        <w:instrText xml:space="preserve"> HYPERLINK "https://kalite.ksu.edu.tr/depo/belgeler/KS%C3%9C%202023-2027%20Stratejik%20Plan%20web_2301101407282920.pdf"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sz w:val="24"/>
          <w:szCs w:val="24"/>
        </w:rPr>
        <w:t xml:space="preserve">. </w:t>
      </w:r>
      <w:r>
        <w:rPr>
          <w:rFonts w:ascii="Times New Roman" w:hAnsi="Times New Roman" w:cs="Times New Roman"/>
          <w:b w:val="0"/>
          <w:bCs w:val="0"/>
          <w:color w:val="auto"/>
          <w:sz w:val="24"/>
          <w:szCs w:val="24"/>
        </w:rPr>
        <w:t>Aynı zamanda sağlık bilimleri fakültesi bünyesinde strateji planı bulunmaktadır. SBF’nin stratejik planı tüm bölümleri kapsamaktadır. Stratejik amaç ve hedefleri belirlenmiş ve paylaşılmıştır.</w:t>
      </w:r>
      <w:r>
        <w:rPr>
          <w:rFonts w:ascii="Times New Roman" w:hAnsi="Times New Roman" w:cs="Times New Roman"/>
          <w:b w:val="0"/>
          <w:bCs w:val="0"/>
          <w:sz w:val="24"/>
          <w:szCs w:val="24"/>
        </w:rPr>
        <w:t xml:space="preserve"> </w:t>
      </w:r>
      <w:r>
        <w:fldChar w:fldCharType="begin"/>
      </w:r>
      <w:r>
        <w:instrText xml:space="preserve"> HYPERLINK "https://saglik.ksu.edu.tr/depo/belgeler/Stratejik%20Plan%202023-2027_2401111333076488.docx"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p>
    <w:p w14:paraId="5F5ABCFE">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5D2DACFF">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Bölümün kendine ait bir stratejik planı bulunmakta olup, tüm işleyiş bu plan çerçevesinde gerçekleştirilmektedir. Bölümde stratejik planlama temelli bir çalışma kültürü hâkimdir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"https://sbfhemsirelik.ksu.edu.tr/depo/belgeler/Birim%20Faaliyet%20ve%20Kalite%20Raporu%20POL%C4%B0T%C4%B0KALAR%20VE%20STRATEJ%C4%B0K%20PLAN%202025_2506040606216655.pdf"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p>
    <w:p w14:paraId="0410C253">
      <w:pPr>
        <w:pStyle w:val="2"/>
        <w:spacing w:line="360" w:lineRule="auto"/>
        <w:rPr>
          <w:rFonts w:ascii="Times New Roman" w:hAnsi="Times New Roman" w:cs="Times New Roman"/>
          <w:b w:val="0"/>
          <w:bCs w:val="0"/>
          <w:color w:val="auto"/>
          <w:sz w:val="24"/>
          <w:szCs w:val="24"/>
        </w:rPr>
      </w:pPr>
      <w:r>
        <w:rPr>
          <w:rFonts w:ascii="Times New Roman" w:hAnsi="Times New Roman" w:cs="Times New Roman"/>
          <w:color w:val="auto"/>
          <w:sz w:val="24"/>
          <w:szCs w:val="24"/>
        </w:rPr>
        <w:t>Hemşirelik Bölümü Program Amaçları:</w:t>
      </w:r>
      <w:r>
        <w:rPr>
          <w:rFonts w:ascii="Times New Roman" w:hAnsi="Times New Roman" w:cs="Times New Roman"/>
          <w:b w:val="0"/>
          <w:bCs w:val="0"/>
          <w:color w:val="auto"/>
          <w:sz w:val="24"/>
          <w:szCs w:val="24"/>
        </w:rPr>
        <w:t xml:space="preserve"> </w:t>
      </w:r>
    </w:p>
    <w:p w14:paraId="11FB9145">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1) Bilimsel anlayış kazanmış ve bilgilerini mesleki alanda beceriye dönüştürebilen tüm dünya ülkelerindeki sağlık kuruluşlarında kapsamlı ve çağdaş Hemşirelik hizmeti verecek yeterli bilgi ve beceri donanımına sahip hemşireler yetiştirmek,</w:t>
      </w:r>
    </w:p>
    <w:p w14:paraId="7B00B07F">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2) Hemşirelik alanında bilimsel çerçevede araştırma ve inceleme yapabilecek yeterliliğe sahip insan gücünü yetiştirmek, </w:t>
      </w:r>
    </w:p>
    <w:p w14:paraId="647FED53">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3) Fakültenin gelişmesini, toplumla eş güdümünü sağlayabilecek toplum sağlığını koruma, geliştirme ve yükseltme bilince sahip, ülkedeki kurum ve kuruluşların ihtiyaç duyduğu alanlarda çalışacak hemşireler yetiştirmektir. </w:t>
      </w:r>
    </w:p>
    <w:p w14:paraId="1AC0664A">
      <w:pPr>
        <w:pStyle w:val="2"/>
        <w:spacing w:line="360" w:lineRule="auto"/>
        <w:rPr>
          <w:rFonts w:ascii="Times New Roman" w:hAnsi="Times New Roman" w:cs="Times New Roman"/>
          <w:b w:val="0"/>
          <w:bCs w:val="0"/>
          <w:color w:val="auto"/>
          <w:sz w:val="24"/>
          <w:szCs w:val="24"/>
        </w:rPr>
      </w:pPr>
      <w:r>
        <w:rPr>
          <w:rFonts w:ascii="Times New Roman" w:hAnsi="Times New Roman" w:cs="Times New Roman"/>
          <w:color w:val="auto"/>
          <w:sz w:val="24"/>
          <w:szCs w:val="24"/>
        </w:rPr>
        <w:t>Program Hedefleri:</w:t>
      </w:r>
      <w:r>
        <w:rPr>
          <w:rFonts w:ascii="Times New Roman" w:hAnsi="Times New Roman" w:cs="Times New Roman"/>
          <w:b w:val="0"/>
          <w:bCs w:val="0"/>
          <w:color w:val="auto"/>
          <w:sz w:val="24"/>
          <w:szCs w:val="24"/>
        </w:rPr>
        <w:t xml:space="preserve"> </w:t>
      </w:r>
    </w:p>
    <w:p w14:paraId="6220F641">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1) Mezunların koruyucu, tedavi edici ve rehabilitasyona yönelik sağlık hizmetlerini en üst düzeyde verebilmesi</w:t>
      </w:r>
    </w:p>
    <w:p w14:paraId="2593FF7F">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2) Ulusal sağlık, hemşirelik hizmet ve politikalarını yönlendirmek üzere projeler hazırlayabilmesi ve yürütebilmesi </w:t>
      </w:r>
    </w:p>
    <w:p w14:paraId="39BD637C">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3) Ulusal ve uluslararası bilimsel platformda söz sahibi olabilmesi </w:t>
      </w:r>
    </w:p>
    <w:p w14:paraId="319E564D">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4) Mezunlarımızın kurum ve kuruluşların işe giriş sınavlarında başarılı olabilmesi ve lisansüstü eğitim için öncelikli olarak tercih edilmesi </w:t>
      </w:r>
    </w:p>
    <w:p w14:paraId="2261A20A">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5) Toplam kalite yönetimi sistemlerinin benimsetilmesi, uygulatılması ve geliştirilmesi</w:t>
      </w:r>
    </w:p>
    <w:p w14:paraId="371137FD">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265F8888">
      <w:pPr>
        <w:pStyle w:val="2"/>
        <w:spacing w:line="360" w:lineRule="auto"/>
        <w:rPr>
          <w:rFonts w:hint="default" w:ascii="Times New Roman" w:hAnsi="Times New Roman" w:cs="Times New Roman"/>
          <w:sz w:val="24"/>
          <w:szCs w:val="24"/>
          <w:lang w:val="tr-TR"/>
        </w:rPr>
      </w:pPr>
      <w:r>
        <w:rPr>
          <w:rFonts w:hint="default" w:ascii="Times New Roman" w:hAnsi="Times New Roman" w:cs="Times New Roman"/>
          <w:b w:val="0"/>
          <w:bCs w:val="0"/>
          <w:color w:val="auto"/>
          <w:sz w:val="24"/>
          <w:szCs w:val="24"/>
        </w:rPr>
        <w:t>Kahramanmaraş Sütçü İmam Üniversitesi bünyesinde 2023-2027 yılı Stratejik planı bulunmaktadır. Bu kapsamda mevcut dönemi kapsayan, kısa/orta uzun vadeli amaçlar, hedefler, alt hedefler, eylemler ve bunların zamanlaması, önceliklendirilmesi, sorumluları, mali kaynaklar mevcuttur</w:t>
      </w:r>
      <w:r>
        <w:rPr>
          <w:rFonts w:hint="default" w:ascii="Times New Roman" w:hAnsi="Times New Roman" w:cs="Times New Roman"/>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"https://kalite.ksu.edu.tr/depo/belgeler/KS%C3%9C%202023-2027%20Stratejik%20Plan%20web_2301101407282920.pdf"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color w:val="auto"/>
          <w:sz w:val="24"/>
          <w:szCs w:val="24"/>
        </w:rPr>
        <w:t>Aynı zamanda sağlık bilimleri fakültesi bünyesinde strateji planı bulunmaktadır. SBF’nin stratejik planı tüm bölümleri kapsamaktadır. Stratejik amaç ve hedefleri belirlenmiş ve paylaşılmıştır</w:t>
      </w:r>
      <w:r>
        <w:rPr>
          <w:rFonts w:hint="default" w:ascii="Times New Roman" w:hAnsi="Times New Roman" w:cs="Times New Roman"/>
          <w:b w:val="0"/>
          <w:bCs w:val="0"/>
          <w:color w:val="auto"/>
          <w:sz w:val="24"/>
          <w:szCs w:val="24"/>
          <w:lang w:val="tr-TR"/>
        </w:rPr>
        <w:t xml:space="preserve"> </w:t>
      </w:r>
      <w:r>
        <w:rPr>
          <w:rFonts w:hint="default" w:ascii="Times New Roman" w:hAnsi="Times New Roman" w:cs="Times New Roman"/>
          <w:b w:val="0"/>
          <w:bCs w:val="0"/>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"https://saglik.ksu.edu.tr/depo/belgeler/Stratejik%20Plan%202023-2027_2401111333076488.docx"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Style w:val="20"/>
          <w:rFonts w:hint="default" w:ascii="Times New Roman" w:hAnsi="Times New Roman" w:cs="Times New Roman"/>
          <w:b w:val="0"/>
          <w:bCs w:val="0"/>
          <w:sz w:val="24"/>
          <w:szCs w:val="24"/>
          <w:lang w:val="tr-TR"/>
        </w:rPr>
        <w:t>.</w:t>
      </w:r>
    </w:p>
    <w:p w14:paraId="2A9DA4FA">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4DDE2C6A">
      <w:pPr>
        <w:pStyle w:val="2"/>
        <w:spacing w:after="240"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Bölümün kendine ait bir stratejik planı bulunmakta olup, tüm işleyiş bu plan çerçevesinde gerçekleştirilmektedir. Bölümde stratejik planlama temelli bir çalışma kültürü hâkimdir ((</w:t>
      </w:r>
      <w:r>
        <w:fldChar w:fldCharType="begin"/>
      </w:r>
      <w:r>
        <w:instrText xml:space="preserve"> HYPERLINK "https://sbfebelik.ksu.edu.tr/Default.aspx?SId=33500"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xml:space="preserve">). </w:t>
      </w:r>
    </w:p>
    <w:p w14:paraId="3910B42F">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color w:val="000000"/>
          <w:sz w:val="24"/>
          <w:szCs w:val="24"/>
        </w:rPr>
        <w:t>Ebelik Bölümü Program Amaçları:</w:t>
      </w:r>
      <w:r>
        <w:rPr>
          <w:rFonts w:ascii="Times New Roman" w:hAnsi="Times New Roman" w:cs="Times New Roman"/>
          <w:b w:val="0"/>
          <w:bCs w:val="0"/>
          <w:color w:val="000000"/>
          <w:sz w:val="24"/>
          <w:szCs w:val="24"/>
        </w:rPr>
        <w:t xml:space="preserve"> </w:t>
      </w:r>
    </w:p>
    <w:p w14:paraId="50DD380E">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 Gebeyi, fetüsü ve yenidoğanı takip eden ve gerekli bireysel, bütüncül holistik bakımı sunan,</w:t>
      </w:r>
    </w:p>
    <w:p w14:paraId="51BC47C7">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 Normal doğum sürecini kendi sorumluluğunda yöneten ve yaptırabilen,</w:t>
      </w:r>
    </w:p>
    <w:p w14:paraId="3F1A7D34">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  Normalden sapmaları tespit edebilen ve bu  sapmalarda profesyonel ebelik yaklaşımlarını kullanabilen,</w:t>
      </w:r>
    </w:p>
    <w:p w14:paraId="7641FA8C">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4) Çiftlere prekonsepsiyonel dönemde üreme sağlığı ve aile planlaması konularında danışmanlık hizmeti verebilen</w:t>
      </w:r>
    </w:p>
    <w:p w14:paraId="5C35B1B6">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5) Gebelik, doğum ve doğum sonu dönemlerde kadına; egzersiz, beslenme, yenidoğan sağlığı ve tarama programları, olası riskler ve tehlike belirtileri vb. konularda eğitim ve danışmanlık verebilen,  </w:t>
      </w:r>
    </w:p>
    <w:p w14:paraId="12EF7FD7">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6) Anne ve yenidoğan sağlığının geliştirilmesinde, bağışıklama, cinsel yolla bulaşan hastalıklar, genital hastalıklar, bulaşıcı hastalıklarda koruyucu ve sağlığı geliştirici bakım hizmetleri sunabilen,   </w:t>
      </w:r>
    </w:p>
    <w:p w14:paraId="09082417">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7) Tüm bireyler olmak üzere özelde anne, çocuk, kadın haklarını koruyabilen,   İnsan onuruna saygılı, mahremiyete önem veren,</w:t>
      </w:r>
    </w:p>
    <w:p w14:paraId="185D36B0">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8) Mesleki etik ve ahlak ilkelerini benimsemiş, </w:t>
      </w:r>
    </w:p>
    <w:p w14:paraId="4B07B77B">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9) Ülke çıktılarını düşünen, ülkesi ve insanlık yararına sorumluluk alabilen,</w:t>
      </w:r>
    </w:p>
    <w:p w14:paraId="0216D6B5">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10) Sağlığı koruma, iyileştirme ve geliştirme  noktasında çevreci ve sürdürülebilir uygulamaları bilen,</w:t>
      </w:r>
    </w:p>
    <w:p w14:paraId="41379C3F">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11) Afet durumlarında krizi yönetebilen bu noktada kritik öneme sahip olan ülkemiz ihtiyaçlarını karşılayabilecek  yeni nesil ebeler yetiştirmektir. </w:t>
      </w:r>
    </w:p>
    <w:p w14:paraId="65220820">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color w:val="000000"/>
          <w:sz w:val="24"/>
          <w:szCs w:val="24"/>
        </w:rPr>
        <w:t>Program Hedefleri:</w:t>
      </w:r>
      <w:r>
        <w:rPr>
          <w:rFonts w:ascii="Times New Roman" w:hAnsi="Times New Roman" w:cs="Times New Roman"/>
          <w:b w:val="0"/>
          <w:bCs w:val="0"/>
          <w:color w:val="000000"/>
          <w:sz w:val="24"/>
          <w:szCs w:val="24"/>
        </w:rPr>
        <w:t xml:space="preserve"> </w:t>
      </w:r>
    </w:p>
    <w:p w14:paraId="659EAFDB">
      <w:pPr>
        <w:pStyle w:val="2"/>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 Ebelik eğitimi; Ebelik Ulusal Çekirdek Eğitim Programı (EUÇEP) kapsamında güncel bilgilerle desteklenerek öğrencilere bilgi ve becerilerin kazandırılması,</w:t>
      </w:r>
    </w:p>
    <w:p w14:paraId="0D84C1EF">
      <w:pPr>
        <w:pStyle w:val="2"/>
        <w:spacing w:before="0" w:after="240"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2) Artırılan seçmeli ders sayısı ile öğrencilerin daha geniş bakış açısına sahip, çağdaş ve etik değerlere sahip olması,  3) YÖK Başkanlığı tarafından 02.02.2008 tarih ve 26775 sayılı “Doktorluk, Ebelik, Ebelik, Diş Hekimliği, Veterinerler, Eczacılık ve Mimarlık Eğitim Programlarının Asgari Eğitim Koşullarının Belirlenmesine dair Yönetmeliği”n 5. maddesi  gereği  tanımlanan mezuniyet kriterlerinin de tamamlanarak, çağdaş, nitelikli bir ebe olarak yetiştirilmeleri hedeflenmiştir. Mezunların koruyucu, tedavi edici ve rehabilitasyona yönelik sağlık hizmetlerini en üst düzeyde verebilmesi</w:t>
      </w:r>
    </w:p>
    <w:p w14:paraId="6A73FA80">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A.2.3. Performans yönetimi </w:t>
      </w:r>
    </w:p>
    <w:p w14:paraId="632B0B14">
      <w:pPr>
        <w:pStyle w:val="2"/>
        <w:spacing w:line="360" w:lineRule="auto"/>
        <w:rPr>
          <w:rFonts w:hint="default" w:ascii="Times New Roman" w:hAnsi="Times New Roman" w:cs="Times New Roman"/>
          <w:b w:val="0"/>
          <w:bCs w:val="0"/>
          <w:color w:val="auto"/>
          <w:sz w:val="24"/>
          <w:szCs w:val="24"/>
          <w:lang w:val="tr-TR"/>
        </w:rPr>
      </w:pPr>
      <w:r>
        <w:rPr>
          <w:rFonts w:hint="default" w:ascii="Times New Roman" w:hAnsi="Times New Roman" w:eastAsia="SimSun" w:cs="Times New Roman"/>
          <w:b w:val="0"/>
          <w:bCs w:val="0"/>
          <w:color w:val="auto"/>
          <w:sz w:val="24"/>
          <w:szCs w:val="24"/>
        </w:rPr>
        <w:t>Sağlık Bilimleri Fakültesi, idari süreçlerin etkinliğini ve kurumsal performansını ölçülebilir verilerle takip etmek amacıyla yapılandırılmış bir performans yönetim sistemi yürütmektedir. Bu sistemin temel mekanizmasını oluşturan "Birim İdari Faaliyet Raporları", Hemşirelik, Fizyoterapi ve Rehabilitasyon ile Ebelik bölümlerinin yıllık bazda gerçekleştirdiği yönetsel ve akademik faaliyetlerin sistematik bir dökümünü sunmaktadır. Her yıl sonunda titizlikle hazırlanan bu raporlar, stratejik hedeflere ulaşma düzeyini analiz etmek üzere Dekanlık makamına ve ilgili üst birimlere (Strateji Geliştirme Daire Başkanlığı) iletilerek kurumsal izleme ve iyileştirme döngüsünün veri temelini oluşturmaktadır</w:t>
      </w:r>
      <w:r>
        <w:rPr>
          <w:rFonts w:hint="default" w:ascii="Times New Roman" w:hAnsi="Times New Roman" w:eastAsia="SimSun" w:cs="Times New Roman"/>
          <w:b w:val="0"/>
          <w:bCs w:val="0"/>
          <w:color w:val="auto"/>
          <w:sz w:val="24"/>
          <w:szCs w:val="24"/>
          <w:lang w:val="tr-TR"/>
        </w:rPr>
        <w:t>. Bölümlerdeki süreç ise;</w:t>
      </w:r>
    </w:p>
    <w:p w14:paraId="31FC2FAD">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63E1B31D">
      <w:pPr>
        <w:pStyle w:val="2"/>
        <w:spacing w:line="360" w:lineRule="auto"/>
        <w:rPr>
          <w:rFonts w:ascii="Times New Roman" w:hAnsi="Times New Roman" w:cs="Times New Roman"/>
          <w:color w:val="auto"/>
          <w:sz w:val="22"/>
          <w:szCs w:val="22"/>
        </w:rPr>
      </w:pPr>
      <w:r>
        <w:rPr>
          <w:rFonts w:hint="default" w:ascii="Times New Roman" w:hAnsi="Times New Roman" w:cs="Times New Roman"/>
          <w:b w:val="0"/>
          <w:bCs w:val="0"/>
          <w:color w:val="auto"/>
          <w:sz w:val="24"/>
          <w:szCs w:val="24"/>
        </w:rPr>
        <w:t>Bölümümüzde idari süreçlere ilişkin performansın izlenmesinde 'Birim İdari Faaliyet Raporu' temel araç olarak kullanılmaktadır. Her yıl sonunda hazırlanan bu raporlar, kurumsal performansın değerlendirilmesi amacıyla dekanlığa iletilmektedir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"https://drive.google.com/file/d/1zmrGDWrWfL38eVlQT3aElK6JB_TVO_iq/view"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p>
    <w:p w14:paraId="32BDC263">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7815D280">
      <w:pPr>
        <w:pStyle w:val="53"/>
        <w:spacing w:line="360" w:lineRule="auto"/>
        <w:ind w:right="118"/>
        <w:jc w:val="both"/>
        <w:rPr>
          <w:rFonts w:ascii="Times New Roman" w:hAnsi="Times New Roman" w:cs="Times New Roman"/>
          <w:sz w:val="24"/>
          <w:szCs w:val="24"/>
        </w:rPr>
      </w:pPr>
      <w:r>
        <w:rPr>
          <w:rFonts w:ascii="Times New Roman" w:hAnsi="Times New Roman" w:cs="Times New Roman"/>
          <w:sz w:val="24"/>
          <w:szCs w:val="24"/>
        </w:rPr>
        <w:t xml:space="preserve">Performans yönetimi, Sağlık Bilimleri Fakültesi’nde idari süreçlere ilişkin faaliyetlerin performansının izlenmesinde “Birim İdari Faaliyet Raporu” kullanılmaktadır. Her yıl sonunda birimde faaliyet raporu hazırlanarak “Strateji Geliştirme ve Daire Başkanlığına” iletilmektedir. </w:t>
      </w:r>
      <w:r>
        <w:fldChar w:fldCharType="begin"/>
      </w:r>
      <w:r>
        <w:instrText xml:space="preserve"> HYPERLINK "https://saglik.ksu.edu.tr/Default.aspx?SId=21693"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p>
    <w:p w14:paraId="34D70ED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2424C73D">
      <w:pPr>
        <w:pStyle w:val="2"/>
        <w:spacing w:after="240"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Bölümümüzde idari süreçlere ilişkin performansın izlenmesinde 'Birim İdari Faaliyet Raporu' temel araç olarak kullanılmaktadır. Her yıl sonunda hazırlanan bu raporlar, kurumsal performansın değerlendirilmesi amacıyla dekanlığa iletilmektedir (</w:t>
      </w:r>
      <w:r>
        <w:fldChar w:fldCharType="begin"/>
      </w:r>
      <w:r>
        <w:instrText xml:space="preserve"> HYPERLINK "https://docs.google.com/document/d/1EIcz-4gFQrw8l3Fst3iWDQDg-JYWxLux/edit"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r>
        <w:rPr>
          <w:rFonts w:ascii="Times New Roman" w:hAnsi="Times New Roman" w:cs="Times New Roman"/>
          <w:b w:val="0"/>
          <w:bCs w:val="0"/>
          <w:color w:val="000000"/>
          <w:sz w:val="24"/>
          <w:szCs w:val="24"/>
        </w:rPr>
        <w:t xml:space="preserve">). </w:t>
      </w:r>
    </w:p>
    <w:p w14:paraId="00CAD4CE">
      <w:pPr>
        <w:pStyle w:val="53"/>
        <w:spacing w:line="343" w:lineRule="auto"/>
        <w:ind w:right="377"/>
        <w:jc w:val="both"/>
        <w:rPr>
          <w:rFonts w:hint="default" w:ascii="Times New Roman" w:hAnsi="Times New Roman" w:cs="Times New Roman"/>
          <w:sz w:val="24"/>
          <w:szCs w:val="24"/>
        </w:rPr>
      </w:pPr>
      <w:r>
        <w:rPr>
          <w:rFonts w:hint="default" w:ascii="Times New Roman" w:hAnsi="Times New Roman" w:cs="Times New Roman"/>
          <w:b/>
          <w:bCs/>
          <w:sz w:val="24"/>
          <w:szCs w:val="24"/>
        </w:rPr>
        <w:t>A.3.1. Bilgi yönetim sistemi</w:t>
      </w:r>
      <w:r>
        <w:rPr>
          <w:rFonts w:hint="default" w:ascii="Times New Roman" w:hAnsi="Times New Roman" w:cs="Times New Roman"/>
          <w:sz w:val="24"/>
          <w:szCs w:val="24"/>
        </w:rPr>
        <w:t xml:space="preserve"> </w:t>
      </w:r>
    </w:p>
    <w:p w14:paraId="352678C1">
      <w:pPr>
        <w:pStyle w:val="53"/>
        <w:spacing w:line="343" w:lineRule="auto"/>
        <w:ind w:right="377"/>
        <w:jc w:val="both"/>
        <w:rPr>
          <w:rFonts w:hint="default" w:ascii="Times New Roman" w:hAnsi="Times New Roman" w:cs="Times New Roman"/>
          <w:sz w:val="24"/>
          <w:szCs w:val="24"/>
        </w:rPr>
      </w:pPr>
      <w:r>
        <w:rPr>
          <w:rFonts w:hint="default" w:ascii="Times New Roman" w:hAnsi="Times New Roman" w:cs="Times New Roman"/>
          <w:sz w:val="24"/>
          <w:szCs w:val="24"/>
        </w:rPr>
        <w:t>Üniversite’deki bilgi işlem sistemini işletmek; eğitim, öğretim ve araştırmalara destek olmak, Üniversite’nin ihtiyaç duyduğu diğer bilgi işlem hizmetlerini yerine getirmekle görevlendirilmiş olan idari birim KSÜ Bilgi İşlem Daire Başkanlığı’dır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"https://bidb.ksu.edu.tr/"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KSÜ BİDB üniversitede birimlerince ihtiyaç duyulan her türlü bilişim altyapısını hazırlamak ve kullanılabilir durumda tutmayı misyon edinmiştir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"https://bidb.ksu.edu.tr/Default.aspx?SId=28004"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08333A0">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309C5078">
      <w:pPr>
        <w:pStyle w:val="53"/>
        <w:spacing w:line="343" w:lineRule="auto"/>
        <w:ind w:right="377"/>
        <w:jc w:val="both"/>
        <w:rPr>
          <w:rFonts w:hint="default" w:ascii="Times New Roman" w:hAnsi="Times New Roman" w:cs="Times New Roman"/>
          <w:sz w:val="24"/>
          <w:szCs w:val="24"/>
        </w:rPr>
      </w:pPr>
      <w:r>
        <w:rPr>
          <w:rFonts w:hint="default" w:ascii="Times New Roman" w:hAnsi="Times New Roman" w:cs="Times New Roman"/>
          <w:sz w:val="24"/>
          <w:szCs w:val="24"/>
        </w:rPr>
        <w:t>Hemşirelik bölümünün kendine ait bir WEb sayfası ve Web sayfasından sorumlu WEP Komisyonu bulunmaktadır. İlgili komisyon üyeleri; güncel bilgi, duyuru ve belgelerin web sayfasına, belirlenmiş olan iş akış süreçleri doğrultusunda yüklenmesini ve güncelliğinin korunmasını sağlamaktadır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"https://drive.google.com/file/d/1zmrGDWrWfL38eVlQT3aElK6JB_TVO_iq/view?usp=sharing"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Bölümde öğrenciler tarafından; öğrenci bilgi sistemi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"https://obs.ksu.edu.tr/"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OBS</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ve Uzaktan eğitim Sistemi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"https://uzem.ksu.edu.tr/"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eys</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aktif olarak kullanılmaktadır.  Akademik ve idari personel; kurum içi ve dışı yazışmalar için EBYS ve KSÜ kurumsal e-posta sistemini, eğitim-öğretim süreçlerinin yönetimi için OBS ve Ek Ders Otomasyon Sistemi’ni aktif olarak kullanmaktadır.</w:t>
      </w:r>
    </w:p>
    <w:p w14:paraId="7460750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52F97CC1">
      <w:pPr>
        <w:pStyle w:val="53"/>
        <w:spacing w:line="360" w:lineRule="auto"/>
        <w:ind w:right="377"/>
        <w:jc w:val="both"/>
        <w:rPr>
          <w:rFonts w:hint="default" w:ascii="Times New Roman" w:hAnsi="Times New Roman" w:cs="Times New Roman"/>
          <w:sz w:val="24"/>
          <w:szCs w:val="24"/>
        </w:rPr>
      </w:pPr>
      <w:r>
        <w:rPr>
          <w:rFonts w:hint="default" w:ascii="Times New Roman" w:hAnsi="Times New Roman" w:cs="Times New Roman"/>
          <w:sz w:val="24"/>
          <w:szCs w:val="24"/>
        </w:rPr>
        <w:t>Fizyoterapi ve Rehabilitasyonbölümünün kendine ait bir WEB sayfası ve WEB sayfasından sorumlu WEB Komisyonu bulunmaktadır.</w:t>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Üniversitemizde öğrenci işlemleri için OBS (Öğrenci Bilgi Sistemi) yazılım sistemi kullanılmaktadır. OBS, öğrencilerin başarılı-başarısız olduğu ve diğer tüm dersleri, ders kredilerini, not sorgulama sistemini, akademik takvimi, devamsızlık durumunu, sınav takvimini, ders programını görebileceği, ders kayıt ve form işlemlerini gerçekleştirebileceği, akademik danışmanına mesaj yoluyla ulaşabileceği bir sistemdir. Öğrenciler OBS’ye öğrenci numaraları ve belirledikleri şifre ile girebilecekleri gibi e-devlet şifreleri ile de erişilebilmektedirler. Ayrıca Fizyoterapi ve Rehabilitasyon bölümündeki tüm yazışmalar EBYS ile merkezi olarak yapılmakta ve elektronik olarak arşivlenmektedir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"https://ebys.ksu.edu.tr/enVision/Login.aspx?ReturnUrl=%2fenVision%2fRheaModule%2fPortal_Rhea.aspx%3fpghx%3d1704519594&amp;pghx=1704519594"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376DA7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9F333FA">
      <w:pPr>
        <w:pBdr>
          <w:top w:val="none" w:color="auto" w:sz="0" w:space="0"/>
          <w:left w:val="none" w:color="auto" w:sz="0" w:space="0"/>
          <w:bottom w:val="none" w:color="auto" w:sz="0" w:space="0"/>
          <w:right w:val="none" w:color="auto" w:sz="0" w:space="0"/>
          <w:between w:val="none" w:color="auto" w:sz="0" w:space="0"/>
        </w:pBdr>
        <w:spacing w:after="240" w:line="360" w:lineRule="auto"/>
        <w:ind w:right="37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w:t>
      </w:r>
      <w:r>
        <w:rPr>
          <w:rFonts w:ascii="Times New Roman" w:hAnsi="Times New Roman" w:eastAsia="Times New Roman" w:cs="Times New Roman"/>
          <w:color w:val="000000"/>
          <w:sz w:val="24"/>
          <w:szCs w:val="24"/>
        </w:rPr>
        <w:t xml:space="preserve"> bölümünün kendine ait bir WE</w:t>
      </w:r>
      <w:r>
        <w:rPr>
          <w:rFonts w:ascii="Times New Roman" w:hAnsi="Times New Roman" w:eastAsia="Times New Roman" w:cs="Times New Roman"/>
          <w:sz w:val="24"/>
          <w:szCs w:val="24"/>
        </w:rPr>
        <w:t>B</w:t>
      </w:r>
      <w:r>
        <w:rPr>
          <w:rFonts w:ascii="Times New Roman" w:hAnsi="Times New Roman" w:eastAsia="Times New Roman" w:cs="Times New Roman"/>
          <w:color w:val="000000"/>
          <w:sz w:val="24"/>
          <w:szCs w:val="24"/>
        </w:rPr>
        <w:t xml:space="preserve"> sayfası ve Web sayfasından sorumlu WE</w:t>
      </w:r>
      <w:r>
        <w:rPr>
          <w:rFonts w:ascii="Times New Roman" w:hAnsi="Times New Roman" w:eastAsia="Times New Roman" w:cs="Times New Roman"/>
          <w:sz w:val="24"/>
          <w:szCs w:val="24"/>
        </w:rPr>
        <w:t>B</w:t>
      </w:r>
      <w:r>
        <w:rPr>
          <w:rFonts w:ascii="Times New Roman" w:hAnsi="Times New Roman" w:eastAsia="Times New Roman" w:cs="Times New Roman"/>
          <w:color w:val="000000"/>
          <w:sz w:val="24"/>
          <w:szCs w:val="24"/>
        </w:rPr>
        <w:t xml:space="preserve"> Komisyonu bulunmaktadır. İlgili komisyon üyeleri; güncel bilgi, duyuru ve belgelerin web sayfasına, belirlenmiş olan iş akış süreçleri doğrultusunda yüklenmesini ve güncelliğinin korunmasını sağlamaktadır (</w:t>
      </w:r>
      <w:r>
        <w:fldChar w:fldCharType="begin"/>
      </w:r>
      <w:r>
        <w:instrText xml:space="preserve"> HYPERLINK "https://drive.google.com/drive/folders/1G3S7WQBZwhJzdkwONu3ORVqEhqlrdOj2"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00000"/>
          <w:sz w:val="24"/>
          <w:szCs w:val="24"/>
        </w:rPr>
        <w:t>). Bölümde öğrenciler tarafından; öğrenci bilgi sistemi (</w:t>
      </w:r>
      <w:r>
        <w:fldChar w:fldCharType="begin"/>
      </w:r>
      <w:r>
        <w:instrText xml:space="preserve"> HYPERLINK "https://obs.ksu.edu.tr/" \h </w:instrText>
      </w:r>
      <w:r>
        <w:fldChar w:fldCharType="separate"/>
      </w:r>
      <w:r>
        <w:rPr>
          <w:rFonts w:ascii="Times New Roman" w:hAnsi="Times New Roman" w:eastAsia="Times New Roman" w:cs="Times New Roman"/>
          <w:color w:val="0563C1"/>
          <w:sz w:val="24"/>
          <w:szCs w:val="24"/>
          <w:u w:val="single"/>
        </w:rPr>
        <w:t>OBS</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00000"/>
          <w:sz w:val="24"/>
          <w:szCs w:val="24"/>
        </w:rPr>
        <w:t>) ve Uzaktan eğitim Sistemi (</w:t>
      </w:r>
      <w:r>
        <w:fldChar w:fldCharType="begin"/>
      </w:r>
      <w:r>
        <w:instrText xml:space="preserve"> HYPERLINK "https://uzem.ksu.edu.tr/" \h </w:instrText>
      </w:r>
      <w:r>
        <w:fldChar w:fldCharType="separate"/>
      </w:r>
      <w:r>
        <w:rPr>
          <w:rFonts w:ascii="Times New Roman" w:hAnsi="Times New Roman" w:eastAsia="Times New Roman" w:cs="Times New Roman"/>
          <w:color w:val="0563C1"/>
          <w:sz w:val="24"/>
          <w:szCs w:val="24"/>
          <w:u w:val="single"/>
        </w:rPr>
        <w:t>eys</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00000"/>
          <w:sz w:val="24"/>
          <w:szCs w:val="24"/>
        </w:rPr>
        <w:t>) aktif olarak kullanılmaktadır.  Akademik ve idari personel; kurum içi ve dışı yazışmalar için EBYS ve KSÜ kurumsal e-posta sistemini, eğitim-öğretim süreçlerinin yönetimi için OBS ve Ek Ders Otomasyon Sistemi’ni aktif olarak kullanmaktadır.</w:t>
      </w:r>
    </w:p>
    <w:p w14:paraId="3EF66E0E">
      <w:pPr>
        <w:pStyle w:val="53"/>
        <w:spacing w:line="264" w:lineRule="exact"/>
        <w:jc w:val="both"/>
        <w:rPr>
          <w:rFonts w:hint="default" w:ascii="Times New Roman" w:hAnsi="Times New Roman" w:cs="Times New Roman"/>
          <w:b/>
          <w:spacing w:val="-2"/>
          <w:sz w:val="24"/>
          <w:szCs w:val="24"/>
        </w:rPr>
      </w:pPr>
      <w:r>
        <w:rPr>
          <w:rFonts w:hint="default" w:ascii="Times New Roman" w:hAnsi="Times New Roman" w:cs="Times New Roman"/>
          <w:b/>
          <w:sz w:val="24"/>
          <w:szCs w:val="24"/>
        </w:rPr>
        <w:t>A.3.2.</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İnsan</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kaynakları</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yönetimi</w:t>
      </w:r>
    </w:p>
    <w:p w14:paraId="7B7460C1">
      <w:pPr>
        <w:pStyle w:val="53"/>
        <w:spacing w:line="264" w:lineRule="exact"/>
        <w:jc w:val="both"/>
        <w:rPr>
          <w:rFonts w:hint="default" w:ascii="Times New Roman" w:hAnsi="Times New Roman" w:cs="Times New Roman"/>
          <w:b/>
          <w:spacing w:val="-2"/>
          <w:sz w:val="24"/>
          <w:szCs w:val="24"/>
        </w:rPr>
      </w:pPr>
    </w:p>
    <w:p w14:paraId="5FB6745F">
      <w:pPr>
        <w:pStyle w:val="53"/>
        <w:spacing w:line="360" w:lineRule="auto"/>
        <w:jc w:val="both"/>
        <w:rPr>
          <w:rFonts w:hint="default" w:ascii="Times New Roman" w:hAnsi="Times New Roman" w:cs="Times New Roman"/>
          <w:b w:val="0"/>
          <w:bCs/>
          <w:spacing w:val="-2"/>
          <w:sz w:val="24"/>
          <w:szCs w:val="24"/>
          <w:lang w:val="tr-TR"/>
        </w:rPr>
      </w:pPr>
      <w:r>
        <w:rPr>
          <w:rFonts w:hint="default" w:ascii="Times New Roman" w:hAnsi="Times New Roman" w:cs="Times New Roman"/>
          <w:b w:val="0"/>
          <w:bCs/>
          <w:spacing w:val="-2"/>
          <w:sz w:val="24"/>
          <w:szCs w:val="24"/>
        </w:rPr>
        <w:t xml:space="preserve">Sağlık Bilimleri Fakültesi, insan kaynakları yönetimini akademik yetkinlik ve idari verimlilik ekseninde, şeffaf ve tanımlı süreçlerle yürütmektedir. Fakülte bünyesindeki Hemşirelik, Fizyoterapi ve Rehabilitasyon ile Ebelik bölümlerinde görev yapan tüm akademik ve idari personelin iş tanımları, yetki ve sorumlulukları, 2025 yılındaki güncellemelerle birlikte kurumsal web sayfasında kamuoyuna ilan edilmiştir. Liyakat ve uzmanlık odaklı atama süreçleri kapsamında; bölümlerin anabilim dalı ihtiyaçlarına göre doktor öğretim üyesi ve araştırma görevlisi kadroları güçlendirilmekte, personelin akademik gelişimleri, yükselmeleri ve deneyim süreleri akreditasyon standartları doğrultusunda titizlikle izlenmektedir. Ayrıca, kuruma yeni katılan personelin adaptasyonunu sağlamak amacıyla düzenlenen akademik uyum eğitimleri </w:t>
      </w:r>
      <w:r>
        <w:rPr>
          <w:rFonts w:hint="default" w:ascii="Times New Roman" w:hAnsi="Times New Roman" w:cs="Times New Roman"/>
          <w:b w:val="0"/>
          <w:bCs/>
          <w:spacing w:val="-2"/>
          <w:sz w:val="24"/>
          <w:szCs w:val="24"/>
          <w:lang w:val="tr-TR"/>
        </w:rPr>
        <w:t>düzenlenmektedir. Bölümlere ilişkin;</w:t>
      </w:r>
    </w:p>
    <w:p w14:paraId="6540BE2C">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7D521A1F">
      <w:pPr>
        <w:pStyle w:val="53"/>
        <w:spacing w:before="243" w:line="360" w:lineRule="auto"/>
        <w:ind w:right="98"/>
        <w:jc w:val="both"/>
        <w:rPr>
          <w:rFonts w:hint="default" w:ascii="Times New Roman" w:hAnsi="Times New Roman" w:cs="Times New Roman"/>
          <w:sz w:val="24"/>
          <w:szCs w:val="24"/>
        </w:rPr>
      </w:pPr>
      <w:r>
        <w:rPr>
          <w:rFonts w:hint="default" w:ascii="Times New Roman" w:hAnsi="Times New Roman" w:cs="Times New Roman"/>
          <w:sz w:val="24"/>
          <w:szCs w:val="24"/>
        </w:rPr>
        <w:t>Hemşirelik Bölümünde 20 akademik ve fakülteye bağlı 1 (sekreteri) idari personel olmak üzere 20 personel görev yapmaktadır. Sağlık Bilimleri Fakültesinin bir Dekan Yardımcısı hemşirelikte lisans ve doktora derecesine sahiptir. Fakülte web sayfasında bölümde görev alan tüm akademik ve idari personelin iş tanımı, görev ve sorumlulukları,</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yetkileri,</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iş</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unvanlarını</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içeren</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görev</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analizlerinin</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yapıldığı</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görev</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tanımları</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bulunmaktadır</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"https://saglik.ksu.edu.tr/depo/belgeler/DEKAN%20YARDIMCISI%20(E%C4%9E%C4%B0T%C4%B0M%20%C3%96%C4%9ERET%C4%B0M-personelidari%20i%C5%9Fler)%20revizyon_2411141011175455.docx"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Dekan</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"https://saglik.ksu.edu.tr/depo/belgeler/DEKAN%20YARDIMCISI%20(E%C4%9E%C4%B0T%C4%B0M%20%C3%96%C4%9ERET%C4%B0M-personelidari%20i%C5%9Fler)%20revizyon_2411141011175455.docx"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yardımcısı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"https://saglik.ksu.edu.tr/depo/belgeler/B%C3%96L%C3%9CM%20BA%C5%9EKANI_2411141016492021.docx"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Bölüm başkanı iş tanımı,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"https://saglik.ksu.edu.tr/depo/belgeler/anabilim%20dal%C4%B1%20g%C3%B6rev%20tan%C4%B1t%C4%B1m%C4%B1_2411141019436451.docx"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Anabilim dalı başkanı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"https://saglik.ksu.edu.tr/depo/belgeler/%C3%96%C4%9Fretim%20%C3%9Cyesi%20g%C3%B6rev%20tan%C4%B1m%C4%B1_2411141015498017.docx"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Öğretim üyesi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"https://saglik.ksu.edu.tr/depo/belgeler/Ara%C5%9Ft%C4%B1rma%20G%C3%B6revlisi%20G%C3%B6rev%20tan%C4%B1m%C4%B1_2411141014533017.docx"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Araştırma görevlisi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"https://saglik.ksu.edu.tr/depo/belgeler/Fak%C3%BClte%20Sekreteri.Dekanl%C4%B1k%20%C3%96zel%20Kalem.Personel%20%C3%96zl%C3%BCk.Mutemet_2411141017322695.docx"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Fakülte sekreteri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"https://saglik.ksu.edu.tr/depo/belgeler/DEKANLIK%20%C3%96ZEL%20KALEM_1811291643142292.docx"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Dekanlık özel kalem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pacing w:val="80"/>
          <w:w w:val="150"/>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"https://saglik.ksu.edu.tr/depo/belgeler/Fak%C3%BClte%20Sekreteri.Dekanl%C4%B1k%20%C3%96zel%20Kalem.Personel%20%C3%96zl%C3%BCk.Mutemet%20(1)_2411141018424581.docx"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Personel özlük</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"https://saglik.ksu.edu.tr/depo/belgeler/Fak%C3%BClte%20Sekreteri.Dekanl%C4%B1k%20%C3%96zel%20Kalem.Personel%20%C3%96zl%C3%BCk.Mutemet%20(1)_2411141018424581.docx"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iş tanımları,</w:t>
      </w:r>
      <w:r>
        <w:rPr>
          <w:rStyle w:val="20"/>
          <w:rFonts w:hint="default" w:ascii="Times New Roman" w:hAnsi="Times New Roman" w:cs="Times New Roman"/>
          <w:sz w:val="24"/>
          <w:szCs w:val="24"/>
        </w:rPr>
        <w:fldChar w:fldCharType="end"/>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"https://saglik.ksu.edu.tr/depo/belgeler/Fak%C3%BClte%20Sekreteri.Dekanl%C4%B1k%20%C3%96zel%20Kalem.Personel%20%C3%96zl%C3%BCk.Mutemet_2411141018072018.docx"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Mutemet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"https://saglik.ksu.edu.tr/depo/belgeler/SATIN%20ALMA%20G%C3%96REVL%C4%B0S%C4%B0%20(1)_2411140948127303.docx"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Satın alma ve taşınır kayıt kontrol yetkilisi iş tanımlar</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ı,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"https://saglik.ksu.edu.tr/depo/belgeler/SGK%20%C4%B0%C5%9ELEMLER%C4%B0%20PERSONEL%C4%B0_2411140947466987.docx"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SGK işlemleri iş</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"https://saglik.ksu.edu.tr/depo/belgeler/SGK%20%C4%B0%C5%9ELEMLER%C4%B0%20PERSONEL%C4%B0_2411140947466987.docx"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"https://saglik.ksu.edu.tr/depo/belgeler/%C3%96%C4%9ERENC%C4%B0%20%C4%B0%C5%9ELER%C4%B0%20PERSONEL%C4%B0_2411140947118068.docx"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Öğrenci işleri iş tanımlar</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ı,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"https://saglik.ksu.edu.tr/depo/belgeler/B%C3%96L%C3%9CM%20SEKRETER%C4%B0_2411140946434354.docx"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Bölüm</w:t>
      </w:r>
      <w:r>
        <w:rPr>
          <w:rStyle w:val="20"/>
          <w:rFonts w:hint="default" w:ascii="Times New Roman" w:hAnsi="Times New Roman" w:cs="Times New Roman"/>
          <w:spacing w:val="-2"/>
          <w:sz w:val="24"/>
          <w:szCs w:val="24"/>
        </w:rPr>
        <w:t xml:space="preserve"> </w:t>
      </w:r>
      <w:r>
        <w:rPr>
          <w:rStyle w:val="20"/>
          <w:rFonts w:hint="default" w:ascii="Times New Roman" w:hAnsi="Times New Roman" w:cs="Times New Roman"/>
          <w:sz w:val="24"/>
          <w:szCs w:val="24"/>
        </w:rPr>
        <w:t>sekreteri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"https://saglik.ksu.edu.tr/depo/belgeler/SOSYAL%20%C4%B0%C5%9ELER%20SORUMLUSU_2411140936275490.docx"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Sosyal işler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"https://saglik.ksu.edu.tr/depo/belgeler/TEKN%C4%B0K%20PERSONEL_2411140935541636.docx"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Tekniker iş tanımları</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2025 yılında görev tanımlarına ilişkin güncelleme yapılmıştır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"https://drive.google.com/file/d/1uXZ8o6eO0zygpZGJ00HfIfoOLRM68X76/view?usp=sharing"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51C118F6">
      <w:pPr>
        <w:pStyle w:val="53"/>
        <w:spacing w:before="243" w:line="360" w:lineRule="auto"/>
        <w:ind w:right="98"/>
        <w:jc w:val="both"/>
        <w:rPr>
          <w:rFonts w:hint="default" w:ascii="Times New Roman" w:hAnsi="Times New Roman" w:cs="Times New Roman"/>
          <w:sz w:val="24"/>
          <w:szCs w:val="24"/>
        </w:rPr>
      </w:pPr>
      <w:r>
        <w:rPr>
          <w:rFonts w:hint="default" w:ascii="Times New Roman" w:hAnsi="Times New Roman" w:cs="Times New Roman"/>
          <w:sz w:val="24"/>
          <w:szCs w:val="24"/>
        </w:rPr>
        <w:t>Hemşirelik bölümünde “Hemşirelik Esasları, İç Hastalıkları Hemşireliği, Cerrahi Hastalıklar Hemşireliği, Doğum ve Kadın Hastalıkları Hemşireliği, Çocuk Sağlığı ve Hastalıkları Hemşireliği, Psikiyatri Hemşireliği, Halk Sağlığı Hemşireliği, Hemşirelikte Yönetim” anabilim dallarında toplam 20 öğretim elemanı bulunmaktadır. 2025 yılında iç hastalıkları hemşireliği, doğum ve kadın hastalıkları hemşireliği ve hemşirelikte yönetim anabilim dallarında doktor öğretim üyesi kadrosuna yeniden atama (3 doktor öğretim üyesi), hemşirelik esasları anabilim dalına 1, çocuk sağlığı ve hastalıkları hemşireliği anabilim dalına 2 araştırma görevlisi atanmıştır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"https://drive.google.com/file/d/172IkF0pebJL_byNg3GjUiLU25z3nqNMC/view?usp=sharing"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Ayrıca bölüm bazında öğretim elemanlarının lisans derecesi aldığı program ve mezuniyet yılı, aldığı son derece (doktora, yüksek lisans), iş deneyimleri, yeniden atama ve görevde yükselme tarihleri ve deneyim süreleri Akreditasyon çalışmaları kapsamında düzenli olarak takip edilmektedir. Bölümde yeni atanan personellere yönelik a</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"https://sbfhemsirelik.ksu.edu.tr/depo/belgeler/AKADEM%C4%B0K%20PERSONEL%20UYUM%20K%C4%B0TAP%C3%87I%C4%9EI_2503171444089977.docx"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kademik uyum eğitimi</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verilerek memnuniyet analizi yapılmıştır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"https://docs.google.com/document/d/1YN6ShncovSa91akuWffU7pEYfvwhRoee/edit?usp=sharing&amp;ouid=117558475916650171620&amp;rtpof=true&amp;sd=true"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FCC915F">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64049FF0">
      <w:pPr>
        <w:pStyle w:val="53"/>
        <w:spacing w:line="360" w:lineRule="auto"/>
        <w:jc w:val="both"/>
        <w:rPr>
          <w:rFonts w:hint="default" w:ascii="Times New Roman" w:hAnsi="Times New Roman" w:cs="Times New Roman"/>
          <w:bCs/>
          <w:sz w:val="24"/>
          <w:szCs w:val="24"/>
          <w:lang w:val="tr-TR"/>
        </w:rPr>
      </w:pPr>
      <w:r>
        <w:rPr>
          <w:rFonts w:hint="default" w:ascii="Times New Roman" w:hAnsi="Times New Roman" w:cs="Times New Roman"/>
          <w:bCs/>
          <w:sz w:val="24"/>
          <w:szCs w:val="24"/>
        </w:rPr>
        <w:t>Fizyoterapi ve Rehabilitasyon Bölümünde 8 akademik ve 1idari personel (bölüm sekreteri) olmak üzere 9 personel görev yapmaktadır. Sağlık Bilimleri Fakültesinin bir Dekan Yardımcısı Fizyoterapi ve Rehabilitasyonda lisans ve doktora derecesine sahiptir. Fakülte web sayfasında bölümde görev alan tüm akademik ve idari personelin iş tanımı, görev ve sorumlulukları, yetkileri, iş unvanlarını içeren görev analizlerinin yapıldığı görev tanımları bulunmaktadır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"https://sbfftr.ksu.edu.tr/Default.aspx?SId=33524" </w:instrText>
      </w:r>
      <w:r>
        <w:rPr>
          <w:rFonts w:hint="default" w:ascii="Times New Roman" w:hAnsi="Times New Roman" w:cs="Times New Roman"/>
          <w:sz w:val="24"/>
          <w:szCs w:val="24"/>
        </w:rPr>
        <w:fldChar w:fldCharType="separate"/>
      </w:r>
      <w:r>
        <w:rPr>
          <w:rStyle w:val="20"/>
          <w:rFonts w:hint="default" w:ascii="Times New Roman" w:hAnsi="Times New Roman" w:cs="Times New Roman"/>
          <w:bCs/>
          <w:sz w:val="24"/>
          <w:szCs w:val="24"/>
        </w:rPr>
        <w:t>OD4)</w:t>
      </w:r>
      <w:r>
        <w:rPr>
          <w:rStyle w:val="20"/>
          <w:rFonts w:hint="default" w:ascii="Times New Roman" w:hAnsi="Times New Roman" w:cs="Times New Roman"/>
          <w:bCs/>
          <w:sz w:val="24"/>
          <w:szCs w:val="24"/>
        </w:rPr>
        <w:fldChar w:fldCharType="end"/>
      </w:r>
      <w:r>
        <w:rPr>
          <w:rFonts w:hint="default" w:ascii="Times New Roman" w:hAnsi="Times New Roman" w:cs="Times New Roman"/>
          <w:bCs/>
          <w:sz w:val="24"/>
          <w:szCs w:val="24"/>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"https://sbfftr.ksu.edu.tr/Default.aspx?SId=28306" </w:instrText>
      </w:r>
      <w:r>
        <w:rPr>
          <w:rFonts w:hint="default" w:ascii="Times New Roman" w:hAnsi="Times New Roman" w:cs="Times New Roman"/>
          <w:sz w:val="24"/>
          <w:szCs w:val="24"/>
        </w:rPr>
        <w:fldChar w:fldCharType="separate"/>
      </w:r>
      <w:r>
        <w:rPr>
          <w:rStyle w:val="20"/>
          <w:rFonts w:hint="default" w:ascii="Times New Roman" w:hAnsi="Times New Roman" w:cs="Times New Roman"/>
          <w:bCs/>
          <w:sz w:val="24"/>
          <w:szCs w:val="24"/>
        </w:rPr>
        <w:t>OD4)</w:t>
      </w:r>
      <w:r>
        <w:rPr>
          <w:rStyle w:val="20"/>
          <w:rFonts w:hint="default" w:ascii="Times New Roman" w:hAnsi="Times New Roman" w:cs="Times New Roman"/>
          <w:bCs/>
          <w:sz w:val="24"/>
          <w:szCs w:val="24"/>
        </w:rPr>
        <w:fldChar w:fldCharType="end"/>
      </w:r>
      <w:r>
        <w:rPr>
          <w:rFonts w:hint="default" w:ascii="Times New Roman" w:hAnsi="Times New Roman" w:cs="Times New Roman"/>
          <w:bCs/>
          <w:sz w:val="24"/>
          <w:szCs w:val="24"/>
        </w:rPr>
        <w:t>.</w:t>
      </w:r>
    </w:p>
    <w:p w14:paraId="65F1DF39">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Ebelik</w:t>
      </w:r>
    </w:p>
    <w:p w14:paraId="3321A378">
      <w:pPr>
        <w:pBdr>
          <w:top w:val="none" w:color="auto" w:sz="0" w:space="0"/>
          <w:left w:val="none" w:color="auto" w:sz="0" w:space="0"/>
          <w:bottom w:val="none" w:color="auto" w:sz="0" w:space="0"/>
          <w:right w:val="none" w:color="auto" w:sz="0" w:space="0"/>
          <w:between w:val="none" w:color="auto" w:sz="0" w:space="0"/>
        </w:pBdr>
        <w:spacing w:before="243" w:line="360" w:lineRule="auto"/>
        <w:ind w:right="98"/>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sz w:val="24"/>
          <w:szCs w:val="24"/>
        </w:rPr>
        <w:t>Ebelik</w:t>
      </w:r>
      <w:r>
        <w:rPr>
          <w:rFonts w:hint="default" w:ascii="Times New Roman" w:hAnsi="Times New Roman" w:eastAsia="Times New Roman" w:cs="Times New Roman"/>
          <w:color w:val="000000"/>
          <w:sz w:val="24"/>
          <w:szCs w:val="24"/>
        </w:rPr>
        <w:t xml:space="preserve"> bölümünde </w:t>
      </w:r>
      <w:r>
        <w:rPr>
          <w:rFonts w:hint="default" w:ascii="Times New Roman" w:hAnsi="Times New Roman" w:eastAsia="Times New Roman" w:cs="Times New Roman"/>
          <w:sz w:val="24"/>
          <w:szCs w:val="24"/>
        </w:rPr>
        <w:t>Ebelik A</w:t>
      </w:r>
      <w:r>
        <w:rPr>
          <w:rFonts w:hint="default" w:ascii="Times New Roman" w:hAnsi="Times New Roman" w:eastAsia="Times New Roman" w:cs="Times New Roman"/>
          <w:color w:val="000000"/>
          <w:sz w:val="24"/>
          <w:szCs w:val="24"/>
        </w:rPr>
        <w:t xml:space="preserve">nabilim </w:t>
      </w:r>
      <w:r>
        <w:rPr>
          <w:rFonts w:hint="default" w:ascii="Times New Roman" w:hAnsi="Times New Roman" w:eastAsia="Times New Roman" w:cs="Times New Roman"/>
          <w:sz w:val="24"/>
          <w:szCs w:val="24"/>
        </w:rPr>
        <w:t>D</w:t>
      </w:r>
      <w:r>
        <w:rPr>
          <w:rFonts w:hint="default" w:ascii="Times New Roman" w:hAnsi="Times New Roman" w:eastAsia="Times New Roman" w:cs="Times New Roman"/>
          <w:color w:val="000000"/>
          <w:sz w:val="24"/>
          <w:szCs w:val="24"/>
        </w:rPr>
        <w:t>al</w:t>
      </w:r>
      <w:r>
        <w:rPr>
          <w:rFonts w:hint="default" w:ascii="Times New Roman" w:hAnsi="Times New Roman" w:eastAsia="Times New Roman" w:cs="Times New Roman"/>
          <w:sz w:val="24"/>
          <w:szCs w:val="24"/>
        </w:rPr>
        <w:t xml:space="preserve">ında </w:t>
      </w:r>
      <w:r>
        <w:rPr>
          <w:rFonts w:hint="default" w:ascii="Times New Roman" w:hAnsi="Times New Roman" w:eastAsia="Times New Roman" w:cs="Times New Roman"/>
          <w:color w:val="000000"/>
          <w:sz w:val="24"/>
          <w:szCs w:val="24"/>
        </w:rPr>
        <w:t xml:space="preserve"> toplam </w:t>
      </w:r>
      <w:r>
        <w:rPr>
          <w:rFonts w:hint="default" w:ascii="Times New Roman" w:hAnsi="Times New Roman" w:eastAsia="Times New Roman" w:cs="Times New Roman"/>
          <w:sz w:val="24"/>
          <w:szCs w:val="24"/>
        </w:rPr>
        <w:t>9</w:t>
      </w:r>
      <w:r>
        <w:rPr>
          <w:rFonts w:hint="default" w:ascii="Times New Roman" w:hAnsi="Times New Roman" w:eastAsia="Times New Roman" w:cs="Times New Roman"/>
          <w:color w:val="000000"/>
          <w:sz w:val="24"/>
          <w:szCs w:val="24"/>
        </w:rPr>
        <w:t xml:space="preserve"> öğretim elemanı bulunmaktadır. 2025 yılında </w:t>
      </w:r>
      <w:r>
        <w:rPr>
          <w:rFonts w:hint="default" w:ascii="Times New Roman" w:hAnsi="Times New Roman" w:eastAsia="Times New Roman" w:cs="Times New Roman"/>
          <w:sz w:val="24"/>
          <w:szCs w:val="24"/>
        </w:rPr>
        <w:t>d</w:t>
      </w:r>
      <w:r>
        <w:rPr>
          <w:rFonts w:hint="default" w:ascii="Times New Roman" w:hAnsi="Times New Roman" w:eastAsia="Times New Roman" w:cs="Times New Roman"/>
          <w:color w:val="000000"/>
          <w:sz w:val="24"/>
          <w:szCs w:val="24"/>
        </w:rPr>
        <w:t>oktor öğretim üyesi kadrosuna 2 atama ve 1 yeniden atama (3 doktor öğretim üyesi</w:t>
      </w:r>
      <w:r>
        <w:rPr>
          <w:rFonts w:hint="default" w:ascii="Times New Roman" w:hAnsi="Times New Roman" w:eastAsia="Times New Roman" w:cs="Times New Roman"/>
          <w:sz w:val="24"/>
          <w:szCs w:val="24"/>
        </w:rPr>
        <w:t>) gerçekleşmiştir</w:t>
      </w:r>
      <w:r>
        <w:rPr>
          <w:rFonts w:hint="default" w:ascii="Times New Roman" w:hAnsi="Times New Roman" w:eastAsia="Times New Roman" w:cs="Times New Roman"/>
          <w:color w:val="000000"/>
          <w:sz w:val="24"/>
          <w:szCs w:val="24"/>
        </w:rPr>
        <w:t>. Ayrıca bölüm bazında öğretim elemanlarının lisans derecesi aldığı program ve mezuniyet yılı, aldığı son derece (doktora, yüksek lisans), iş deneyimleri, yeniden atama ve görevde yükselme tarihleri ve deneyim süreleri Akreditasyon çalışmaları kapsamında düzenli olarak takip edilme</w:t>
      </w:r>
      <w:r>
        <w:rPr>
          <w:rFonts w:hint="default" w:ascii="Times New Roman" w:hAnsi="Times New Roman" w:eastAsia="Times New Roman" w:cs="Times New Roman"/>
          <w:sz w:val="24"/>
          <w:szCs w:val="24"/>
        </w:rPr>
        <w:t>si planlanmaktadır.</w:t>
      </w:r>
      <w:r>
        <w:rPr>
          <w:rFonts w:hint="default" w:ascii="Times New Roman" w:hAnsi="Times New Roman" w:eastAsia="Times New Roman" w:cs="Times New Roman"/>
          <w:color w:val="000000"/>
          <w:sz w:val="24"/>
          <w:szCs w:val="24"/>
        </w:rPr>
        <w:t xml:space="preserve"> </w:t>
      </w:r>
    </w:p>
    <w:p w14:paraId="571F0386">
      <w:pPr>
        <w:pStyle w:val="53"/>
        <w:spacing w:line="264" w:lineRule="exact"/>
        <w:jc w:val="both"/>
        <w:rPr>
          <w:rFonts w:ascii="Times New Roman" w:hAnsi="Times New Roman" w:cs="Times New Roman"/>
          <w:b/>
          <w:bCs/>
          <w:spacing w:val="-2"/>
        </w:rPr>
      </w:pPr>
      <w:r>
        <w:rPr>
          <w:rFonts w:ascii="Times New Roman" w:hAnsi="Times New Roman" w:cs="Times New Roman"/>
          <w:b/>
          <w:bCs/>
        </w:rPr>
        <w:t>A.3.3.</w:t>
      </w:r>
      <w:r>
        <w:rPr>
          <w:rFonts w:ascii="Times New Roman" w:hAnsi="Times New Roman" w:cs="Times New Roman"/>
          <w:b/>
          <w:bCs/>
          <w:spacing w:val="-3"/>
        </w:rPr>
        <w:t xml:space="preserve"> </w:t>
      </w:r>
      <w:r>
        <w:rPr>
          <w:rFonts w:ascii="Times New Roman" w:hAnsi="Times New Roman" w:cs="Times New Roman"/>
          <w:b/>
          <w:bCs/>
        </w:rPr>
        <w:t>Finansal</w:t>
      </w:r>
      <w:r>
        <w:rPr>
          <w:rFonts w:ascii="Times New Roman" w:hAnsi="Times New Roman" w:cs="Times New Roman"/>
          <w:b/>
          <w:bCs/>
          <w:spacing w:val="-2"/>
        </w:rPr>
        <w:t xml:space="preserve"> yönetim</w:t>
      </w:r>
    </w:p>
    <w:p w14:paraId="180A84DD">
      <w:pPr>
        <w:pStyle w:val="2"/>
        <w:spacing w:line="360" w:lineRule="auto"/>
        <w:rPr>
          <w:rFonts w:hint="default" w:ascii="Times New Roman" w:hAnsi="Times New Roman" w:eastAsia="SimSun" w:cs="Times New Roman"/>
          <w:b w:val="0"/>
          <w:bCs w:val="0"/>
          <w:color w:val="auto"/>
          <w:sz w:val="24"/>
          <w:szCs w:val="24"/>
          <w:lang w:val="tr-TR"/>
        </w:rPr>
      </w:pPr>
      <w:r>
        <w:rPr>
          <w:rFonts w:hint="default" w:ascii="Times New Roman" w:hAnsi="Times New Roman" w:eastAsia="SimSun" w:cs="Times New Roman"/>
          <w:b w:val="0"/>
          <w:bCs w:val="0"/>
          <w:color w:val="auto"/>
          <w:sz w:val="24"/>
          <w:szCs w:val="24"/>
        </w:rPr>
        <w:t xml:space="preserve">Sağlık Bilimleri Fakültesi, eğitim ve araştırma hedeflerini gerçekleştirmek üzere sürdürülebilir, şeffaf ve çeşitlendirilmiş bir finansal yönetim modeli benimsemektedir. Devlet üniversitesi statüsü gereği merkezi yönetim bütçesinden ayrılan paylar temel finansal kaynağı oluştururken, bu kaynaklar Bütçe ve Mali Kontrol Genel Müdürlüğü (BÜMKO) sistemleri ve harcama yetkilisi olan Dekanlık koordinesinde özerk bir şekilde yönetilmektedir. Fakülte, kamu bütçesine ek olarak KSÜ Bilimsel Araştırma Projeleri (BAP), TÜBİTAK ve British Council gibi ulusal ve uluslararası prestijli dış kaynaklar aracılığıyla 2025 yılı finansal kapasitesini genişletmiştir. </w:t>
      </w:r>
      <w:r>
        <w:rPr>
          <w:rFonts w:hint="default" w:ascii="Times New Roman" w:hAnsi="Times New Roman" w:eastAsia="SimSun" w:cs="Times New Roman"/>
          <w:b w:val="0"/>
          <w:bCs w:val="0"/>
          <w:color w:val="auto"/>
          <w:sz w:val="24"/>
          <w:szCs w:val="24"/>
          <w:lang w:val="tr-TR"/>
        </w:rPr>
        <w:t>Bölümlere ilişkin bilgiler;</w:t>
      </w:r>
    </w:p>
    <w:p w14:paraId="28DD51AE">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5AAE4969">
      <w:pPr>
        <w:pStyle w:val="53"/>
        <w:spacing w:before="239" w:line="360" w:lineRule="auto"/>
        <w:jc w:val="both"/>
        <w:rPr>
          <w:rFonts w:ascii="Times New Roman" w:hAnsi="Times New Roman" w:cs="Times New Roman"/>
        </w:rPr>
      </w:pPr>
      <w:r>
        <w:rPr>
          <w:rFonts w:hint="default" w:ascii="Times New Roman" w:hAnsi="Times New Roman" w:cs="Times New Roman"/>
          <w:sz w:val="24"/>
          <w:szCs w:val="24"/>
        </w:rPr>
        <w:t>Hemşirelik lisans programının, parasal kaynak planlamaları düzenli olarak gözden geçirilmekte ve izlenmektedir. Fakültede her yıl sonu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"https://sbfhemsirelik.ksu.edu.tr/depo/belgeler/KS%C3%9C%20K%C4%B0DR%20Haz%C4%B1rlama%20K%C4%B1lavuzu_2412170821108681_2501290946425259.pdf"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Birim Faaliyet Raporu”</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hazırlanarak iç ve dış paydaşlar ile birim internet sayfasından paylaşılmaktadır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"https://sbfhemsirelik.ksu.edu.tr/depo/belgeler/KS%C3%9C%20K%C4%B0DR%20Haz%C4%B1rlama%20K%C4%B1lavuzu_2412170821108681_2501290946425259.pdf"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Hemşirelik Bölümümüzün finansal yapısı; merkezi yönetim bütçesinden ayrılan payların yanı sıra, geniş bir yelpazeye yayılan birim içi ve birim dışı proje destekleriyle desteklenmektedir. 2025 yılı itibarıyla bölümümüz, hem KSÜ Bilimsel Araştırma Projeleri (BAP) birimi hem de TÜBİTAK gibi prestijli dış kaynaklar aracılığıyla yüksek bütçeli projeleri yönetmektedir. Özellikle 2023 depremi sonrası toplumsal katkı odaklı çalışmalara yönelen bölümümüz, toplam bütçesi 4 milyon TL'yi aşan TÜBİTAK 1001, 1002 ve 2209 projeleri ile Afşin Belediye Başkanlığı gibi yerel yönetim iş birlikleri sayesinde finansal kaynak çeşitliliğini artırmıştır. Bu projeler aracılığıyla elde edilen kaynaklar; mobil yazılımlar, sanal gerçeklik teknolojileri ve klinik araştırma materyallerinin temi</w:t>
      </w:r>
      <w:r>
        <w:rPr>
          <w:rFonts w:ascii="Times New Roman" w:hAnsi="Times New Roman" w:cs="Times New Roman"/>
        </w:rPr>
        <w:t>ni gibi eğitim-öğretim kalitesini doğrudan artıran alanlarda kullanılmaktadır."</w:t>
      </w:r>
    </w:p>
    <w:p w14:paraId="6B432D44">
      <w:pPr>
        <w:pStyle w:val="53"/>
        <w:spacing w:before="236" w:line="360" w:lineRule="auto"/>
        <w:jc w:val="both"/>
        <w:rPr>
          <w:sz w:val="24"/>
          <w:szCs w:val="24"/>
        </w:rPr>
      </w:pPr>
      <w:r>
        <w:rPr>
          <w:rFonts w:ascii="Times New Roman" w:hAnsi="Times New Roman" w:cs="Times New Roman"/>
          <w:sz w:val="24"/>
          <w:szCs w:val="24"/>
        </w:rPr>
        <w:t>"Finansal kaynakların yönetimi; stratejik plan hedefleri doğrultusunda, şeffaflık ve verimlilik ilkesiyle yürütülmektedir. Akademik personelimizin yürütücü, araştırmacı veya danışman olarak yer aldığı projeler, hem araştırmacı insan kaynağının geliştirilmesine hem de bölümün teknik altyapısının modernizasyonuna finansal zemin hazırlamaktadır. BAP bünyesinde yürütülen münferit projeler ve uluslararası kongre katılım desteği (UKSP) projeleri ile öğretim elemanlarımızın bilimsel görünürlüğü desteklenirken, TÜBİTAK destekli kapsamlı bütçelerle yüksek lisans ve doktora öğrencilerinin araştırma süreçlerine finansal katkı sağlanmaktadır. Bu çok kanallı finansal yapı, programın eğitim ve araştırma amaçlarını gerçekleştirebilmesi için gerekli olan mali sürdürülebilirliği güvence altına almaktadır.</w:t>
      </w:r>
    </w:p>
    <w:p w14:paraId="0B2C67AB">
      <w:pPr>
        <w:pStyle w:val="53"/>
        <w:spacing w:before="236"/>
        <w:jc w:val="both"/>
        <w:rPr>
          <w:rFonts w:ascii="Times New Roman" w:hAnsi="Times New Roman" w:cs="Times New Roman"/>
          <w:b/>
          <w:bCs/>
        </w:rPr>
      </w:pPr>
      <w:r>
        <w:rPr>
          <w:rFonts w:ascii="Times New Roman" w:hAnsi="Times New Roman" w:cs="Times New Roman"/>
          <w:b/>
          <w:bCs/>
        </w:rPr>
        <w:t>Tablo 1. Hemşirelik Bölümü Öğretim Elemanları Tarafından Yürütülen/Görev Alınan İç ve Dış Kaynaklı Projeler ve Bütçe Dağılımı (2024-2025)</w:t>
      </w:r>
    </w:p>
    <w:tbl>
      <w:tblPr>
        <w:tblStyle w:val="9"/>
        <w:tblW w:w="0" w:type="auto"/>
        <w:tblInd w:w="30" w:type="dxa"/>
        <w:tblLayout w:type="autofit"/>
        <w:tblCellMar>
          <w:top w:w="0" w:type="dxa"/>
          <w:left w:w="108" w:type="dxa"/>
          <w:bottom w:w="0" w:type="dxa"/>
          <w:right w:w="108" w:type="dxa"/>
        </w:tblCellMar>
      </w:tblPr>
      <w:tblGrid>
        <w:gridCol w:w="3345"/>
        <w:gridCol w:w="6150"/>
      </w:tblGrid>
      <w:tr w14:paraId="5D52D43F">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191B635">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UNVAN, AD-SOYAD</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E07D3BE">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 </w:t>
            </w:r>
          </w:p>
        </w:tc>
      </w:tr>
      <w:tr w14:paraId="51827F21">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DA565E1">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 </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D423F47">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Devam eden birim içi destekli proje bütçesi- TL</w:t>
            </w:r>
          </w:p>
        </w:tc>
      </w:tr>
      <w:tr w14:paraId="3F9CC823">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653E3E4">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Dr.Öğr.Üyesi Merve GÜLPAK</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B5A5F92">
            <w:pPr>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KSÜ BAP Münferit Proje (Yürütücü) - 64.154,00 TL</w:t>
            </w:r>
          </w:p>
          <w:p w14:paraId="4511314A">
            <w:pPr>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w:t>
            </w:r>
          </w:p>
        </w:tc>
      </w:tr>
      <w:tr w14:paraId="190FC946">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CB6C1E6">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Dr.Öğr.Üyesi Nihal </w:t>
            </w:r>
          </w:p>
          <w:p w14:paraId="0A3996EF">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 ALOĞLU</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E600465">
            <w:pPr>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KSÜ BAP Uluslararası Kongre ve Sempozyum Katılım Destek Projeleri (UKSP) (Yürütücü)- 10.000.00 TL</w:t>
            </w:r>
          </w:p>
          <w:p w14:paraId="24959206">
            <w:pPr>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w:t>
            </w:r>
          </w:p>
        </w:tc>
      </w:tr>
      <w:tr w14:paraId="4673F3AC">
        <w:tblPrEx>
          <w:tblCellMar>
            <w:top w:w="0" w:type="dxa"/>
            <w:left w:w="108" w:type="dxa"/>
            <w:bottom w:w="0" w:type="dxa"/>
            <w:right w:w="108" w:type="dxa"/>
          </w:tblCellMar>
        </w:tblPrEx>
        <w:trPr>
          <w:trHeight w:val="30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DA934C9">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Doç. Dr.Emine DERYA İSTER</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F5AB8E5">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KSÜ BAP Münferit Proje (Araştırmacı) - 64.154,00 TL</w:t>
            </w:r>
          </w:p>
        </w:tc>
      </w:tr>
      <w:tr w14:paraId="144B5131">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957D616">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Aysun BADEM</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9BD0A91">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KSÜ BAP Münferit Proje (Yürütücü) - 119.856.00 TL</w:t>
            </w:r>
          </w:p>
        </w:tc>
      </w:tr>
      <w:tr w14:paraId="3327F45D">
        <w:tblPrEx>
          <w:tblCellMar>
            <w:top w:w="0" w:type="dxa"/>
            <w:left w:w="108" w:type="dxa"/>
            <w:bottom w:w="0" w:type="dxa"/>
            <w:right w:w="108" w:type="dxa"/>
          </w:tblCellMar>
        </w:tblPrEx>
        <w:trPr>
          <w:trHeight w:val="270" w:hRule="atLeast"/>
        </w:trPr>
        <w:tc>
          <w:tcPr>
            <w:tcW w:w="949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8768996">
            <w:pPr>
              <w:spacing w:line="276" w:lineRule="auto"/>
              <w:jc w:val="both"/>
              <w:rPr>
                <w:rFonts w:ascii="Times New Roman" w:hAnsi="Times New Roman" w:eastAsia="Times New Roman" w:cs="Times New Roman"/>
                <w:b/>
                <w:bCs/>
                <w:color w:val="FF0000"/>
                <w:sz w:val="18"/>
                <w:szCs w:val="18"/>
                <w:lang w:val="tr"/>
              </w:rPr>
            </w:pPr>
            <w:r>
              <w:rPr>
                <w:rFonts w:ascii="Times New Roman" w:hAnsi="Times New Roman" w:eastAsia="Times New Roman" w:cs="Times New Roman"/>
                <w:b/>
                <w:bCs/>
                <w:color w:val="FF0000"/>
                <w:sz w:val="18"/>
                <w:szCs w:val="18"/>
                <w:lang w:val="tr"/>
              </w:rPr>
              <w:t xml:space="preserve"> </w:t>
            </w:r>
          </w:p>
          <w:p w14:paraId="66890F97">
            <w:pPr>
              <w:spacing w:line="276" w:lineRule="auto"/>
              <w:jc w:val="both"/>
              <w:rPr>
                <w:rFonts w:ascii="Times New Roman" w:hAnsi="Times New Roman" w:eastAsia="Times New Roman" w:cs="Times New Roman"/>
                <w:b/>
                <w:bCs/>
                <w:color w:val="FF0000"/>
                <w:sz w:val="18"/>
                <w:szCs w:val="18"/>
                <w:lang w:val="tr"/>
              </w:rPr>
            </w:pPr>
            <w:r>
              <w:rPr>
                <w:rFonts w:ascii="Times New Roman" w:hAnsi="Times New Roman" w:eastAsia="Times New Roman" w:cs="Times New Roman"/>
                <w:b/>
                <w:bCs/>
                <w:color w:val="FF0000"/>
                <w:sz w:val="18"/>
                <w:szCs w:val="18"/>
                <w:lang w:val="tr"/>
              </w:rPr>
              <w:t>Tamamlanan birim içi destekli proje bütçesi- TL</w:t>
            </w:r>
          </w:p>
        </w:tc>
      </w:tr>
      <w:tr w14:paraId="6EE5D21F">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ED66BD4">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Ayfer KARA</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2F367E7">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KSÜ BAP Uluslararası Kongre ve Sempozyum Katılım Destek Projeleri (UKSP) (Yürütücü)-10.000.00 TL</w:t>
            </w:r>
          </w:p>
        </w:tc>
      </w:tr>
      <w:tr w14:paraId="3B8AAC61">
        <w:tblPrEx>
          <w:tblCellMar>
            <w:top w:w="0" w:type="dxa"/>
            <w:left w:w="108" w:type="dxa"/>
            <w:bottom w:w="0" w:type="dxa"/>
            <w:right w:w="108" w:type="dxa"/>
          </w:tblCellMar>
        </w:tblPrEx>
        <w:trPr>
          <w:trHeight w:val="5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1BADADD">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D</w:t>
            </w:r>
            <w:r>
              <w:rPr>
                <w:rFonts w:ascii="Times New Roman" w:hAnsi="Times New Roman" w:eastAsia="Times New Roman" w:cs="Times New Roman"/>
                <w:b/>
                <w:bCs/>
                <w:sz w:val="18"/>
                <w:szCs w:val="18"/>
                <w:lang w:val="tr"/>
              </w:rPr>
              <w:t>oç. Dr. Filiz TAŞ</w:t>
            </w:r>
            <w:r>
              <w:rPr>
                <w:rFonts w:ascii="Times New Roman" w:hAnsi="Times New Roman" w:eastAsia="Times New Roman" w:cs="Times New Roman"/>
                <w:sz w:val="18"/>
                <w:szCs w:val="18"/>
                <w:lang w:val="tr"/>
              </w:rPr>
              <w:t xml:space="preserve"> </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86AFD77">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KSU BAP (Yürütücü) Konteyner Kentlerde Yaşayan Depremzedelerin Deprem Sonrası Travma Düzeyleri ve Yaşam Kalitesi. 33.051,45 T</w:t>
            </w:r>
          </w:p>
        </w:tc>
      </w:tr>
      <w:tr w14:paraId="2006913A">
        <w:tblPrEx>
          <w:tblCellMar>
            <w:top w:w="0" w:type="dxa"/>
            <w:left w:w="108" w:type="dxa"/>
            <w:bottom w:w="0" w:type="dxa"/>
            <w:right w:w="108" w:type="dxa"/>
          </w:tblCellMar>
        </w:tblPrEx>
        <w:trPr>
          <w:trHeight w:val="5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203D03E">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Dr.Öğretim Üyesi Tuba Geçdi</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758AD8A">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KSÜ BAP Uluslararası Kongre ve Sempzyum Katılım Destek Projeleri (UKSP) (Yürütücü)-10.000.00TL </w:t>
            </w:r>
          </w:p>
        </w:tc>
      </w:tr>
      <w:tr w14:paraId="458AD4F0">
        <w:tblPrEx>
          <w:tblCellMar>
            <w:top w:w="0" w:type="dxa"/>
            <w:left w:w="108" w:type="dxa"/>
            <w:bottom w:w="0" w:type="dxa"/>
            <w:right w:w="108" w:type="dxa"/>
          </w:tblCellMar>
        </w:tblPrEx>
        <w:trPr>
          <w:trHeight w:val="270" w:hRule="atLeast"/>
        </w:trPr>
        <w:tc>
          <w:tcPr>
            <w:tcW w:w="949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6FE2EEB">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 </w:t>
            </w:r>
          </w:p>
          <w:p w14:paraId="505AC6D6">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Devam eden birim dışı destekli proje bütçesi (TÜBİTAK gibi)- TL</w:t>
            </w:r>
          </w:p>
        </w:tc>
      </w:tr>
      <w:tr w14:paraId="1E699B6A">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A17C2D1">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Doç.Dr. Fatma KARASU </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C99BEA3">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2209 (Danışman)- 6,000,00 TL</w:t>
            </w:r>
          </w:p>
          <w:p w14:paraId="31337704">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w:t>
            </w:r>
          </w:p>
        </w:tc>
      </w:tr>
      <w:tr w14:paraId="6B1A47F7">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47BE582">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Aslıhan AKSU</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0208851">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TÜBİTAK 1001 (Yürütücü) - 283.972,00 TL</w:t>
            </w:r>
          </w:p>
        </w:tc>
      </w:tr>
      <w:tr w14:paraId="2A4EB685">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A47C5F0">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Aslıhan AKSU</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E818817">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2209 (Danışman)- 8.500,00 TL</w:t>
            </w:r>
          </w:p>
        </w:tc>
      </w:tr>
      <w:tr w14:paraId="69F186DC">
        <w:tblPrEx>
          <w:tblCellMar>
            <w:top w:w="0" w:type="dxa"/>
            <w:left w:w="108" w:type="dxa"/>
            <w:bottom w:w="0" w:type="dxa"/>
            <w:right w:w="108" w:type="dxa"/>
          </w:tblCellMar>
        </w:tblPrEx>
        <w:trPr>
          <w:trHeight w:val="465"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8BCCFD4">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Doç. Dr. Mehtap SÖNMEZ</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E7DC4BD">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TÜBİTAK 1001-(Yürütücü)  592.511,00 -TL  Deprem Sonrası Konteyner Kentlerde Yasayan Yaslı Bireylerin Degisen Saglık Önceliklerinin Holistik Yaklasımla Belirlenmesi ve Yönetimi</w:t>
            </w:r>
          </w:p>
        </w:tc>
      </w:tr>
      <w:tr w14:paraId="0BAEEFF6">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1CF9E07">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Doç. Dr. Mehtap SÖNMEZ</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4EE7944">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TÜBİTAK 1001 (Araştırmacı) - 283.972,00 TL </w:t>
            </w:r>
          </w:p>
        </w:tc>
      </w:tr>
      <w:tr w14:paraId="3DCCA724">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1386411">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Doç. Dr. Mehtap SÖNMEZ</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B63C6C0">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1002-(Araştırmacı)-98.225,00 TL. Emziren Annelerde Sanal Gerçeklik Gözlüğü ve Mobil Uygulama ile İzletilecek Eğitici Videonun Sigara Bıraktırma Üzerine Etkisinin İncelenmesi</w:t>
            </w:r>
          </w:p>
        </w:tc>
      </w:tr>
      <w:tr w14:paraId="05E5CCD9">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F34DF6D">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Arş. Gör. Zeynep KEKEÇ</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A6C4026">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TÜBİTAK 1001-(Araştırmacı) 592.511,00 -TL  Deprem Sonrası Konteyner Kentlerde Yasayan Yaslı Bireylerin Degisen Saglık Önceliklerinin Holistik Yaklasımla Belirlenmesi ve Yönetimi</w:t>
            </w:r>
          </w:p>
        </w:tc>
      </w:tr>
      <w:tr w14:paraId="44872111">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BF0488B">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Doç. Dr.Emine DERYA İSTER</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C1BE0AD">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Geçici Yaşam Alanında Barınan Hipertansiyonlu Bireylerin Kan Basıncı Yönetiminde Mobil Yazılım Kullanımının Yaşam Kalitesine Ve Hastalık Öz Etkililiğine Etkisinin İncelenmesi- TÜBİTAK 1001-(Araştırmacı-1,650,000 TL)-2025 devam ediyor</w:t>
            </w:r>
          </w:p>
        </w:tc>
      </w:tr>
      <w:tr w14:paraId="6EBEFDD4">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F0C6950">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Tansel BEKİROĞLU ERGÜN</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A30D742">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1001 (Araştırmacı) Geçici Yaşam Alanında Barınan Hipertansiyonlu Bireylerin Kan Basıncı Yönetiminde Mobil Yazılım Kullanımının Yaşam Kalitesine Ve Hastalık Öz Etkililiğine Etkisinin İncelenmesi- TÜBİTAK 1001-(Araştırmacı-1,650,000 TL)-2025 devam ediyor</w:t>
            </w:r>
          </w:p>
        </w:tc>
      </w:tr>
      <w:tr w14:paraId="76D083D9">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01C9BB6">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Fatma KESKİN TÖRE</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48E6BF5">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2209 (Danışman)- 600 TL</w:t>
            </w:r>
          </w:p>
        </w:tc>
      </w:tr>
      <w:tr w14:paraId="7C868F73">
        <w:tblPrEx>
          <w:tblCellMar>
            <w:top w:w="0" w:type="dxa"/>
            <w:left w:w="108" w:type="dxa"/>
            <w:bottom w:w="0" w:type="dxa"/>
            <w:right w:w="108" w:type="dxa"/>
          </w:tblCellMar>
        </w:tblPrEx>
        <w:trPr>
          <w:trHeight w:val="270" w:hRule="atLeast"/>
        </w:trPr>
        <w:tc>
          <w:tcPr>
            <w:tcW w:w="33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85F009D">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Dr. Öğr. Üyesi Fatma KESKİN TÖRE</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FA7465A">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TÜBİTAK 1002 (Araştırmacı)- 75.000,00 TL </w:t>
            </w:r>
          </w:p>
          <w:p w14:paraId="3F42B0D4">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 </w:t>
            </w:r>
          </w:p>
        </w:tc>
      </w:tr>
      <w:tr w14:paraId="501C9B39">
        <w:tblPrEx>
          <w:tblCellMar>
            <w:top w:w="0" w:type="dxa"/>
            <w:left w:w="108" w:type="dxa"/>
            <w:bottom w:w="0" w:type="dxa"/>
            <w:right w:w="108" w:type="dxa"/>
          </w:tblCellMar>
        </w:tblPrEx>
        <w:trPr>
          <w:trHeight w:val="330" w:hRule="atLeast"/>
        </w:trPr>
        <w:tc>
          <w:tcPr>
            <w:tcW w:w="3345"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513A3832">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Dr.Öğr.Üyesi </w:t>
            </w:r>
          </w:p>
          <w:p w14:paraId="418AB519">
            <w:pPr>
              <w:spacing w:line="276" w:lineRule="auto"/>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   Nihal ALOĞLU</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1525F3F">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TÜBİTAK 2209 (Danışman)- 9000 TL</w:t>
            </w:r>
          </w:p>
        </w:tc>
      </w:tr>
      <w:tr w14:paraId="177C5C1F">
        <w:tblPrEx>
          <w:tblCellMar>
            <w:top w:w="0" w:type="dxa"/>
            <w:left w:w="108" w:type="dxa"/>
            <w:bottom w:w="0" w:type="dxa"/>
            <w:right w:w="108" w:type="dxa"/>
          </w:tblCellMar>
        </w:tblPrEx>
        <w:trPr>
          <w:trHeight w:val="465" w:hRule="atLeast"/>
        </w:trPr>
        <w:tc>
          <w:tcPr>
            <w:tcW w:w="3345" w:type="dxa"/>
            <w:vMerge w:val="continue"/>
            <w:tcBorders>
              <w:left w:val="single" w:color="000000" w:themeColor="text1" w:sz="0" w:space="0"/>
              <w:bottom w:val="single" w:color="000000" w:themeColor="text1" w:sz="0" w:space="0"/>
              <w:right w:val="single" w:color="000000" w:themeColor="text1" w:sz="0" w:space="0"/>
            </w:tcBorders>
            <w:vAlign w:val="center"/>
          </w:tcPr>
          <w:p w14:paraId="747BC168"/>
        </w:tc>
        <w:tc>
          <w:tcPr>
            <w:tcW w:w="6150" w:type="dxa"/>
            <w:tcBorders>
              <w:top w:val="single" w:color="000000" w:themeColor="text1" w:sz="8" w:space="0"/>
              <w:left w:val="nil"/>
              <w:bottom w:val="single" w:color="000000" w:themeColor="text1" w:sz="8" w:space="0"/>
              <w:right w:val="single" w:color="000000" w:themeColor="text1" w:sz="8" w:space="0"/>
            </w:tcBorders>
            <w:tcMar>
              <w:left w:w="20" w:type="dxa"/>
              <w:right w:w="20" w:type="dxa"/>
            </w:tcMar>
          </w:tcPr>
          <w:p w14:paraId="4AB7A712">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Afşin Belediye Başkanlığı ile (Yürütücü) "Psikolojik Sağlamlık Odaklı Uygulanan Motivasyonel Etkinliklerin Etkisi: Belediye Çalışanları Örneği"</w:t>
            </w:r>
          </w:p>
          <w:p w14:paraId="029133C9">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450 000 TL</w:t>
            </w:r>
          </w:p>
        </w:tc>
      </w:tr>
      <w:tr w14:paraId="52A9E6BB">
        <w:tblPrEx>
          <w:tblCellMar>
            <w:top w:w="0" w:type="dxa"/>
            <w:left w:w="108" w:type="dxa"/>
            <w:bottom w:w="0" w:type="dxa"/>
            <w:right w:w="108" w:type="dxa"/>
          </w:tblCellMar>
        </w:tblPrEx>
        <w:trPr>
          <w:trHeight w:val="465" w:hRule="atLeast"/>
        </w:trPr>
        <w:tc>
          <w:tcPr>
            <w:tcW w:w="3345" w:type="dxa"/>
            <w:tcBorders>
              <w:top w:val="nil"/>
              <w:left w:val="single" w:color="000000" w:themeColor="text1" w:sz="8" w:space="0"/>
              <w:bottom w:val="single" w:color="000000" w:themeColor="text1" w:sz="8" w:space="0"/>
              <w:right w:val="single" w:color="000000" w:themeColor="text1" w:sz="8" w:space="0"/>
            </w:tcBorders>
            <w:tcMar>
              <w:left w:w="20" w:type="dxa"/>
              <w:right w:w="20" w:type="dxa"/>
            </w:tcMar>
          </w:tcPr>
          <w:p w14:paraId="18E6CA4A">
            <w:pPr>
              <w:jc w:val="both"/>
              <w:rPr>
                <w:rFonts w:ascii="Times New Roman" w:hAnsi="Times New Roman" w:eastAsia="Times New Roman" w:cs="Times New Roman"/>
                <w:b/>
                <w:bCs/>
                <w:sz w:val="18"/>
                <w:szCs w:val="18"/>
                <w:lang w:val="tr"/>
              </w:rPr>
            </w:pPr>
            <w:r>
              <w:rPr>
                <w:rFonts w:ascii="Times New Roman" w:hAnsi="Times New Roman" w:eastAsia="Times New Roman" w:cs="Times New Roman"/>
                <w:b/>
                <w:bCs/>
                <w:sz w:val="18"/>
                <w:szCs w:val="18"/>
                <w:lang w:val="tr"/>
              </w:rPr>
              <w:t xml:space="preserve">Doç. Dr. Filiz TAŞ </w:t>
            </w:r>
          </w:p>
        </w:tc>
        <w:tc>
          <w:tcPr>
            <w:tcW w:w="61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8EB25C3">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 xml:space="preserve">Tubitak 1001 (Danışman) “Türk Hemşireleri Deprem Yönetim Modeli (TÜHEM-DYM'nin Geliştirilmesi ve Etkililiğinin Sınanması” </w:t>
            </w:r>
          </w:p>
          <w:p w14:paraId="2014A27A">
            <w:pPr>
              <w:spacing w:line="276" w:lineRule="auto"/>
              <w:jc w:val="both"/>
              <w:rPr>
                <w:rFonts w:ascii="Times New Roman" w:hAnsi="Times New Roman" w:eastAsia="Times New Roman" w:cs="Times New Roman"/>
                <w:sz w:val="18"/>
                <w:szCs w:val="18"/>
                <w:lang w:val="tr"/>
              </w:rPr>
            </w:pPr>
            <w:r>
              <w:rPr>
                <w:rFonts w:ascii="Times New Roman" w:hAnsi="Times New Roman" w:eastAsia="Times New Roman" w:cs="Times New Roman"/>
                <w:sz w:val="18"/>
                <w:szCs w:val="18"/>
                <w:lang w:val="tr"/>
              </w:rPr>
              <w:t>776.950,00 -TL</w:t>
            </w:r>
          </w:p>
        </w:tc>
      </w:tr>
    </w:tbl>
    <w:p w14:paraId="2CCBE409">
      <w:pPr>
        <w:pStyle w:val="2"/>
        <w:spacing w:line="360" w:lineRule="auto"/>
        <w:rPr>
          <w:rFonts w:ascii="Times New Roman" w:hAnsi="Times New Roman" w:cs="Times New Roman"/>
          <w:color w:val="auto"/>
          <w:sz w:val="22"/>
          <w:szCs w:val="22"/>
        </w:rPr>
      </w:pPr>
    </w:p>
    <w:p w14:paraId="4D9346A5">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1E5B1FBD">
      <w:pPr>
        <w:pStyle w:val="53"/>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FTR’nin lisans programının, amaç ve çıktılarını destekleyecek parasal kaynakları mevcuttur. Devlet üniversitesine bağlı bir bölüm olması nedeniyle Fakülte bütçesi, ilgili yasal düzenlemelere göre oluşturulmaktadır. Maliye Bakanlığı ile ortak kullanılan Bütçe ve Mali Kontrol Genel Müdürlüğü (BÜMKO)’nün sitesinden alınan parasal kaynak verileri sunulmuştur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"https://ksuedutr-my.sharepoint.com/:w:/g/personal/hemsireliksbf_ksu_edu_tr/IQCqPYi5jGdZTIhv75DumeVPATIQCHEfau3j6LSSwTagG40?rtime=-wvRWlpe3kg"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Ayrıca buna ek olarak Rektörlük bünyesinden detay programla demirbaş alımları için ek ödenek sağlanmaktadır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"https://strateji.ksu.edu.tr/depo/belgeler/Merkezi%20Y%C3%B6netim%20Harcama%20Belgeleri%20Y%C3%B6netmeli%C4%9Fi%2007.11.2016_1611071014188245.pdf"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Merkezi alım yönergesi</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kapsamında İdari ve Mali İşler Daire Başkanlığı tarafından alımlar gerçekleşmektedir). Birimde harcama yetkilisi olarak görevlendirilen Dekan bütçenin kullanılmasını özerk bir şekilde yapmakta ve izlemektedir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"https://extension/mjdgandcagmikhlbjnilkmfnjeamfikk/https:/strateji.ksu.edu.tr/depo/belgeler/PROGRAM%20BUTCE%20REHBERI_2203160824294353.pdf"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Ayrıca Fakülte ’de taşınır ve taşınmaz kaynakların yönetimi için bir idari personel görev yapmaktadır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"https://view.officeapps.live.com/op/view.aspx?src=https%3A%2F%2Fsaglik.ksu.edu.tr%2Fdepo%2Fbelgeler%2FSATIN%2520ALMA%2520G%25C3%2596REVL%25C4%25B0S%25C4%25B0%2520(1)_2411140948127303.docx&amp;wdOrigin=BROWSELINK"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Bunlara ait takip, kullanılan barkot sistemi vasıtasıyla kolaylıkla yapılabilmekte ve bilgisayar ortamında güncel olarak saklanmaktadır. Ayrıca akademik ve idari personel üzerine zimmetlenen malzemelere ait güncel listeler kişinin kendisinde de bulunmaktadır. Fizyoterapi ve Rehabilitasyon lisans programının, parasal kaynak planlamaları düzenli olarak gözden geçirilmekte ve izlenmektedir. Fakültede her yılsonu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"https://view.officeapps.live.com/op/view.aspx?src=https%3A%2F%2Fsaglik.ksu.edu.tr%2Fdepo%2Fbelgeler%2FSa%25C4%259Fl%25C4%25B1k%2520Bilimleri%2520Fak.%25202023%2520Y%25C4%25B1l%25C4%25B1%2520Faaliyet%2520Raporu%2520(1)_2401231131207955.docx&amp;wdOrigin=BROWSELINK"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Birim Faaliyet Raporu</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hazırlanarak iç ve dış paydaşlar ile birim internet sayfasından paylaşılmaktadır.</w:t>
      </w:r>
    </w:p>
    <w:p w14:paraId="7DFC8A23">
      <w:pPr>
        <w:pStyle w:val="53"/>
        <w:spacing w:line="360" w:lineRule="auto"/>
        <w:jc w:val="both"/>
        <w:rPr>
          <w:rFonts w:ascii="Times New Roman" w:hAnsi="Times New Roman" w:cs="Times New Roman"/>
        </w:rPr>
      </w:pPr>
    </w:p>
    <w:p w14:paraId="477488B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73D3226D">
      <w:pPr>
        <w:pBdr>
          <w:top w:val="none" w:color="auto" w:sz="0" w:space="0"/>
          <w:left w:val="none" w:color="auto" w:sz="0" w:space="0"/>
          <w:bottom w:val="none" w:color="auto" w:sz="0" w:space="0"/>
          <w:right w:val="none" w:color="auto" w:sz="0" w:space="0"/>
          <w:between w:val="none" w:color="auto" w:sz="0" w:space="0"/>
        </w:pBdr>
        <w:spacing w:before="239"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Ebelik</w:t>
      </w:r>
      <w:r>
        <w:rPr>
          <w:rFonts w:ascii="Times New Roman" w:hAnsi="Times New Roman" w:eastAsia="Times New Roman" w:cs="Times New Roman"/>
          <w:color w:val="000000"/>
          <w:sz w:val="24"/>
          <w:szCs w:val="24"/>
        </w:rPr>
        <w:t xml:space="preserve"> lisans programının, parasal kaynak planlamaları düzenli olarak gözden geçirilmekte ve izlenmektedir. Fakültede her yıl sonu “</w:t>
      </w:r>
      <w:r>
        <w:fldChar w:fldCharType="begin"/>
      </w:r>
      <w:r>
        <w:instrText xml:space="preserve"> HYPERLINK "https://sbfebelik.ksu.edu.tr/depo/belgeler/27.01.2025%20KSU%CC%88%20KI%CC%87DR-Ebelik%2024%20(1)%20(1)_2506191356071701.pdf" \h </w:instrText>
      </w:r>
      <w:r>
        <w:fldChar w:fldCharType="separate"/>
      </w:r>
      <w:r>
        <w:rPr>
          <w:rFonts w:ascii="Times New Roman" w:hAnsi="Times New Roman" w:eastAsia="Times New Roman" w:cs="Times New Roman"/>
          <w:color w:val="1155CC"/>
          <w:sz w:val="24"/>
          <w:szCs w:val="24"/>
          <w:u w:val="single"/>
        </w:rPr>
        <w:t>Birim Faaliyet Raporu”</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00000"/>
          <w:sz w:val="24"/>
          <w:szCs w:val="24"/>
        </w:rPr>
        <w:t xml:space="preserve"> hazırlanarak iç ve dış paydaşlar ile birim internet sayfasından paylaşılmaktadır (</w:t>
      </w:r>
      <w:r>
        <w:fldChar w:fldCharType="begin"/>
      </w:r>
      <w:r>
        <w:instrText xml:space="preserve"> HYPERLINK "https://sbfebelik.ksu.edu.tr/Default.aspx?SId=33499"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00000"/>
          <w:sz w:val="24"/>
          <w:szCs w:val="24"/>
        </w:rPr>
        <w:t>).</w:t>
      </w:r>
    </w:p>
    <w:p w14:paraId="05DC955B">
      <w:pPr>
        <w:pBdr>
          <w:top w:val="none" w:color="auto" w:sz="0" w:space="0"/>
          <w:left w:val="none" w:color="auto" w:sz="0" w:space="0"/>
          <w:bottom w:val="none" w:color="auto" w:sz="0" w:space="0"/>
          <w:right w:val="none" w:color="auto" w:sz="0" w:space="0"/>
          <w:between w:val="none" w:color="auto" w:sz="0" w:space="0"/>
        </w:pBdr>
        <w:spacing w:before="236"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Ebelik</w:t>
      </w:r>
      <w:r>
        <w:rPr>
          <w:rFonts w:ascii="Times New Roman" w:hAnsi="Times New Roman" w:eastAsia="Times New Roman" w:cs="Times New Roman"/>
          <w:color w:val="000000"/>
          <w:sz w:val="24"/>
          <w:szCs w:val="24"/>
        </w:rPr>
        <w:t xml:space="preserve"> Bölümümüzün finansal yapısı; merkezi yönetim bütçesinden ayrılan payların yanı sıra, geniş bir yelpazeye yayılan birim içi ve birim dışı proje destekleriyle desteklenmektedir. 2025 yılı itibarıyla bölümümüz, hem KSÜ Bilimsel Araştırma Projeleri (BAP) birimi hem de TÜBİTAK gibi prestijli dış kaynaklar aracılığıyla yüksek bütçeli projeleri yönetmektedir. Özellikle 2023 depremi sonrası toplumsal katkı odaklı çalışmalara yönelen bölümümüz, toplam bütçesi 4 milyon TL'yi aşan TÜBİTAK 1001, 1002 ve 2209 projeleri ile finansal kaynak çeşitliliğini artırmıştır. Bu projeler aracılığıyla elde edilen kaynaklar; klinik araştırma materyallerinin temini gibi eğitim-öğretim kalitesini doğrudan artıran alanlarda kullanılmaktadır."</w:t>
      </w:r>
    </w:p>
    <w:p w14:paraId="7A5A6AF1">
      <w:pPr>
        <w:pBdr>
          <w:top w:val="none" w:color="auto" w:sz="0" w:space="0"/>
          <w:left w:val="none" w:color="auto" w:sz="0" w:space="0"/>
          <w:bottom w:val="none" w:color="auto" w:sz="0" w:space="0"/>
          <w:right w:val="none" w:color="auto" w:sz="0" w:space="0"/>
          <w:between w:val="none" w:color="auto" w:sz="0" w:space="0"/>
        </w:pBdr>
        <w:spacing w:before="236" w:line="36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"Finansal kaynakların yönetimi; stratejik plan hedefleri doğrultusunda, şeffaflık ve verimlilik ilkesiyle yürütülmektedir. Akademik personelimizin yürütücü, araştırmacı veya danışman olarak yer aldığı projeler, hem araştırmacı insan kaynağının geliştirilmesine hem de bölümün teknik altyapısının modernizasyonuna finansal zemin hazırlamaktadır. BAP bünyesinde yürütülen münferit projeler ve uluslararası kongre katılım desteği (UKSP) projeleri ile öğretim elemanlarımızın bilimsel görünürlüğü desteklenirken, TÜBİTAK destekli kapsamlı bütçelerle yüksek lisans ve doktora öğrencilerinin araştırma süreçlerine finansal katkı sağlanmaktadır. Bu çok kanallı finansal yapı, programın eğitim ve araştırma amaçlarını gerçekleştirebilmesi için gerekli olan mali sürdürülebilirliği güvence altına almaktadır.</w:t>
      </w:r>
    </w:p>
    <w:p w14:paraId="0CC65CDB">
      <w:pPr>
        <w:pBdr>
          <w:top w:val="none" w:color="auto" w:sz="0" w:space="0"/>
          <w:left w:val="none" w:color="auto" w:sz="0" w:space="0"/>
          <w:bottom w:val="none" w:color="auto" w:sz="0" w:space="0"/>
          <w:right w:val="none" w:color="auto" w:sz="0" w:space="0"/>
          <w:between w:val="none" w:color="auto" w:sz="0" w:space="0"/>
        </w:pBdr>
        <w:spacing w:before="236" w:line="360"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Tablo 1. </w:t>
      </w:r>
      <w:r>
        <w:rPr>
          <w:rFonts w:ascii="Times New Roman" w:hAnsi="Times New Roman" w:eastAsia="Times New Roman" w:cs="Times New Roman"/>
          <w:b/>
          <w:bCs/>
          <w:sz w:val="24"/>
          <w:szCs w:val="24"/>
        </w:rPr>
        <w:t xml:space="preserve">Ebelik </w:t>
      </w:r>
      <w:r>
        <w:rPr>
          <w:rFonts w:ascii="Times New Roman" w:hAnsi="Times New Roman" w:eastAsia="Times New Roman" w:cs="Times New Roman"/>
          <w:b/>
          <w:bCs/>
          <w:color w:val="000000"/>
          <w:sz w:val="24"/>
          <w:szCs w:val="24"/>
        </w:rPr>
        <w:t>Bölümü Öğretim Elemanları Tarafından Yürütülen/Görev Alınan İç ve Dış Kaynaklı Projeler ve Bütçe Dağılımı (2024-2025)</w:t>
      </w:r>
    </w:p>
    <w:p w14:paraId="30E4E9B1">
      <w:pPr>
        <w:spacing w:before="167" w:line="360" w:lineRule="auto"/>
        <w:rPr>
          <w:rFonts w:ascii="Times New Roman" w:hAnsi="Times New Roman" w:eastAsia="Times New Roman" w:cs="Times New Roman"/>
          <w:b/>
          <w:bCs/>
          <w:sz w:val="24"/>
          <w:szCs w:val="24"/>
        </w:rPr>
      </w:pPr>
    </w:p>
    <w:tbl>
      <w:tblPr>
        <w:tblStyle w:val="9"/>
        <w:tblW w:w="10260" w:type="dxa"/>
        <w:tblInd w:w="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75"/>
        <w:gridCol w:w="3210"/>
        <w:gridCol w:w="2220"/>
        <w:gridCol w:w="2955"/>
      </w:tblGrid>
      <w:tr w14:paraId="3DC43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0" w:hRule="atLeast"/>
        </w:trPr>
        <w:tc>
          <w:tcPr>
            <w:tcW w:w="1875" w:type="dxa"/>
          </w:tcPr>
          <w:p w14:paraId="58E6049D">
            <w:pPr>
              <w:spacing w:before="7"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Proje</w:t>
            </w:r>
          </w:p>
        </w:tc>
        <w:tc>
          <w:tcPr>
            <w:tcW w:w="3210" w:type="dxa"/>
          </w:tcPr>
          <w:p w14:paraId="0B4BE8A9">
            <w:pPr>
              <w:spacing w:before="7"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Projenin Başlığı</w:t>
            </w:r>
          </w:p>
        </w:tc>
        <w:tc>
          <w:tcPr>
            <w:tcW w:w="2220" w:type="dxa"/>
          </w:tcPr>
          <w:p w14:paraId="7A2944E7">
            <w:pPr>
              <w:spacing w:before="7" w:line="360" w:lineRule="auto"/>
              <w:ind w:left="10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Yıl</w:t>
            </w:r>
          </w:p>
        </w:tc>
        <w:tc>
          <w:tcPr>
            <w:tcW w:w="2955" w:type="dxa"/>
          </w:tcPr>
          <w:p w14:paraId="1C4543E3">
            <w:pPr>
              <w:spacing w:before="7" w:line="360" w:lineRule="auto"/>
              <w:ind w:left="10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Yürütücü-Araştırmacı-</w:t>
            </w:r>
          </w:p>
          <w:p w14:paraId="284A1995">
            <w:pPr>
              <w:spacing w:before="7" w:line="360" w:lineRule="auto"/>
              <w:ind w:left="10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Bütçe</w:t>
            </w:r>
          </w:p>
        </w:tc>
      </w:tr>
      <w:tr w14:paraId="171CB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38" w:hRule="atLeast"/>
        </w:trPr>
        <w:tc>
          <w:tcPr>
            <w:tcW w:w="1875" w:type="dxa"/>
          </w:tcPr>
          <w:p w14:paraId="2ADFF193">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British Council International Science Partnerships Fund (ISPF) </w:t>
            </w:r>
          </w:p>
          <w:p w14:paraId="6C434B19">
            <w:pPr>
              <w:spacing w:line="360" w:lineRule="auto"/>
              <w:ind w:left="112"/>
              <w:rPr>
                <w:rFonts w:ascii="Times New Roman" w:hAnsi="Times New Roman" w:eastAsia="Times New Roman" w:cs="Times New Roman"/>
                <w:sz w:val="24"/>
                <w:szCs w:val="24"/>
              </w:rPr>
            </w:pPr>
          </w:p>
        </w:tc>
        <w:tc>
          <w:tcPr>
            <w:tcW w:w="3210" w:type="dxa"/>
          </w:tcPr>
          <w:p w14:paraId="6CA4EED9">
            <w:pPr>
              <w:spacing w:line="360" w:lineRule="auto"/>
              <w:ind w:left="112" w:right="87"/>
              <w:rPr>
                <w:rFonts w:ascii="Times New Roman" w:hAnsi="Times New Roman" w:eastAsia="Times New Roman" w:cs="Times New Roman"/>
                <w:sz w:val="24"/>
                <w:szCs w:val="24"/>
              </w:rPr>
            </w:pPr>
            <w:r>
              <w:rPr>
                <w:rFonts w:ascii="Times New Roman" w:hAnsi="Times New Roman" w:eastAsia="Times New Roman" w:cs="Times New Roman"/>
                <w:sz w:val="24"/>
                <w:szCs w:val="24"/>
              </w:rPr>
              <w:t>Advancing Türkiye and UK Midwives' Research Capacity Through Research Skills Training, Networking, Pump-priming, and Mentorship</w:t>
            </w:r>
          </w:p>
        </w:tc>
        <w:tc>
          <w:tcPr>
            <w:tcW w:w="2220" w:type="dxa"/>
          </w:tcPr>
          <w:p w14:paraId="0E6BE2E9">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18.11.2025-31.03.2028 (Devam Ediyor)</w:t>
            </w:r>
          </w:p>
        </w:tc>
        <w:tc>
          <w:tcPr>
            <w:tcW w:w="2955" w:type="dxa"/>
          </w:tcPr>
          <w:p w14:paraId="5BECC3A8">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Yürütücü-Dr. Öğr. Üyesi Semra PINAR- 77,408.60 GBP.</w:t>
            </w:r>
          </w:p>
          <w:p w14:paraId="251AFB05">
            <w:pPr>
              <w:spacing w:line="360" w:lineRule="auto"/>
              <w:ind w:left="101"/>
              <w:rPr>
                <w:rFonts w:ascii="Times New Roman" w:hAnsi="Times New Roman" w:eastAsia="Times New Roman" w:cs="Times New Roman"/>
                <w:sz w:val="24"/>
                <w:szCs w:val="24"/>
              </w:rPr>
            </w:pPr>
          </w:p>
        </w:tc>
      </w:tr>
      <w:tr w14:paraId="1F1AD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88" w:hRule="atLeast"/>
        </w:trPr>
        <w:tc>
          <w:tcPr>
            <w:tcW w:w="1875" w:type="dxa"/>
          </w:tcPr>
          <w:p w14:paraId="431A4B6F">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University of Leeds</w:t>
            </w:r>
          </w:p>
        </w:tc>
        <w:tc>
          <w:tcPr>
            <w:tcW w:w="3210" w:type="dxa"/>
          </w:tcPr>
          <w:p w14:paraId="62CCA7D4">
            <w:pPr>
              <w:spacing w:line="360" w:lineRule="auto"/>
              <w:ind w:left="112" w:right="547"/>
              <w:rPr>
                <w:rFonts w:ascii="Times New Roman" w:hAnsi="Times New Roman" w:eastAsia="Times New Roman" w:cs="Times New Roman"/>
                <w:sz w:val="24"/>
                <w:szCs w:val="24"/>
              </w:rPr>
            </w:pPr>
            <w:r>
              <w:rPr>
                <w:rFonts w:ascii="Times New Roman" w:hAnsi="Times New Roman" w:eastAsia="Times New Roman" w:cs="Times New Roman"/>
                <w:sz w:val="24"/>
                <w:szCs w:val="24"/>
              </w:rPr>
              <w:t>Increasing help-seeking behaviours for perinatal mental health difficulties among women from Black, Asian, and other minority ethnic groups in England</w:t>
            </w:r>
          </w:p>
        </w:tc>
        <w:tc>
          <w:tcPr>
            <w:tcW w:w="2220" w:type="dxa"/>
          </w:tcPr>
          <w:p w14:paraId="604F6D4B">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01.07.2024-30.06.2026 (Devam Ediyor)</w:t>
            </w:r>
          </w:p>
        </w:tc>
        <w:tc>
          <w:tcPr>
            <w:tcW w:w="2955" w:type="dxa"/>
          </w:tcPr>
          <w:p w14:paraId="6220CB0F">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Yürütücü-Dr. Öğr. Üyesi Semra PINAR- 1,020.00 GBP.</w:t>
            </w:r>
          </w:p>
        </w:tc>
      </w:tr>
      <w:tr w14:paraId="1C009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0" w:hRule="atLeast"/>
        </w:trPr>
        <w:tc>
          <w:tcPr>
            <w:tcW w:w="1875" w:type="dxa"/>
          </w:tcPr>
          <w:p w14:paraId="64EDF4C9">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Cost Action</w:t>
            </w:r>
          </w:p>
        </w:tc>
        <w:tc>
          <w:tcPr>
            <w:tcW w:w="3210" w:type="dxa"/>
          </w:tcPr>
          <w:p w14:paraId="17D4A507">
            <w:pPr>
              <w:spacing w:line="360" w:lineRule="auto"/>
              <w:ind w:left="112" w:right="88"/>
              <w:rPr>
                <w:rFonts w:ascii="Times New Roman" w:hAnsi="Times New Roman" w:eastAsia="Times New Roman" w:cs="Times New Roman"/>
                <w:sz w:val="24"/>
                <w:szCs w:val="24"/>
              </w:rPr>
            </w:pPr>
            <w:r>
              <w:rPr>
                <w:rFonts w:ascii="Times New Roman" w:hAnsi="Times New Roman" w:eastAsia="Times New Roman" w:cs="Times New Roman"/>
                <w:sz w:val="24"/>
                <w:szCs w:val="24"/>
              </w:rPr>
              <w:t>Cost Action – CA22114 Maternal Perinatal Stress and Adverse Outcomes in the Offspring: Maximising infants´ development</w:t>
            </w:r>
          </w:p>
        </w:tc>
        <w:tc>
          <w:tcPr>
            <w:tcW w:w="2220" w:type="dxa"/>
          </w:tcPr>
          <w:p w14:paraId="53CBC77F">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2023-2027 (Devam Ediyor)</w:t>
            </w:r>
          </w:p>
        </w:tc>
        <w:tc>
          <w:tcPr>
            <w:tcW w:w="2955" w:type="dxa"/>
          </w:tcPr>
          <w:p w14:paraId="4BB137B1">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Araştırmacı-Dr. Öğr. Üyesi Semra PINAR-1,382.99 EUR.</w:t>
            </w:r>
          </w:p>
          <w:p w14:paraId="68B251FF">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Araştırmacı-Dr. Öğr. Üyesi Güldane Damla KAYA</w:t>
            </w:r>
          </w:p>
        </w:tc>
      </w:tr>
      <w:tr w14:paraId="311E7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0" w:hRule="atLeast"/>
        </w:trPr>
        <w:tc>
          <w:tcPr>
            <w:tcW w:w="1875" w:type="dxa"/>
          </w:tcPr>
          <w:p w14:paraId="5D75397A">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Cost Action</w:t>
            </w:r>
          </w:p>
        </w:tc>
        <w:tc>
          <w:tcPr>
            <w:tcW w:w="3210" w:type="dxa"/>
          </w:tcPr>
          <w:p w14:paraId="752AEA90">
            <w:pPr>
              <w:pStyle w:val="4"/>
              <w:keepNext w:val="0"/>
              <w:keepLines w:val="0"/>
              <w:widowControl w:val="0"/>
              <w:spacing w:before="0" w:line="288" w:lineRule="auto"/>
              <w:ind w:left="140"/>
              <w:rPr>
                <w:rFonts w:ascii="Times New Roman" w:hAnsi="Times New Roman" w:eastAsia="Times New Roman" w:cs="Times New Roman"/>
              </w:rPr>
            </w:pPr>
            <w:bookmarkStart w:id="18" w:name="_32gz2ptfctol" w:colFirst="0" w:colLast="0"/>
            <w:bookmarkEnd w:id="18"/>
            <w:r>
              <w:rPr>
                <w:rFonts w:ascii="Times New Roman" w:hAnsi="Times New Roman" w:eastAsia="Times New Roman" w:cs="Times New Roman"/>
                <w:color w:val="1E1E1E"/>
                <w:highlight w:val="white"/>
              </w:rPr>
              <w:t>CA23153 / Digital Mental Health for Young People (YouthDMH)</w:t>
            </w:r>
          </w:p>
        </w:tc>
        <w:tc>
          <w:tcPr>
            <w:tcW w:w="2220" w:type="dxa"/>
          </w:tcPr>
          <w:p w14:paraId="0A759013">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2025-2028 (Devam Ediyor)</w:t>
            </w:r>
          </w:p>
        </w:tc>
        <w:tc>
          <w:tcPr>
            <w:tcW w:w="2955" w:type="dxa"/>
          </w:tcPr>
          <w:p w14:paraId="5B24E2D2">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Araştırmacı-Dr. Öğr. Üyesi Semra PINAR</w:t>
            </w:r>
          </w:p>
        </w:tc>
      </w:tr>
      <w:tr w14:paraId="4FE7E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0" w:hRule="atLeast"/>
        </w:trPr>
        <w:tc>
          <w:tcPr>
            <w:tcW w:w="1875" w:type="dxa"/>
          </w:tcPr>
          <w:p w14:paraId="797FC4A1">
            <w:pPr>
              <w:spacing w:before="6"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KSÜ BAP Münferit Araştırma Projesi</w:t>
            </w:r>
          </w:p>
        </w:tc>
        <w:tc>
          <w:tcPr>
            <w:tcW w:w="3210" w:type="dxa"/>
          </w:tcPr>
          <w:p w14:paraId="35A742EF">
            <w:pPr>
              <w:spacing w:line="360" w:lineRule="auto"/>
              <w:ind w:left="112" w:right="88"/>
              <w:rPr>
                <w:rFonts w:ascii="Times New Roman" w:hAnsi="Times New Roman" w:eastAsia="Times New Roman" w:cs="Times New Roman"/>
                <w:sz w:val="24"/>
                <w:szCs w:val="24"/>
              </w:rPr>
            </w:pPr>
            <w:r>
              <w:rPr>
                <w:rFonts w:ascii="Times New Roman" w:hAnsi="Times New Roman" w:eastAsia="Times New Roman" w:cs="Times New Roman"/>
                <w:sz w:val="24"/>
                <w:szCs w:val="24"/>
              </w:rPr>
              <w:t>Ebelik Öğrencilerinin Leopold Manevrası Becerilerinin Geliştirilmesinde Video Ve Maket Destekli Eğitimin Karşılaştırılması: Randomize Kontrollü Bir Araştırma</w:t>
            </w:r>
          </w:p>
        </w:tc>
        <w:tc>
          <w:tcPr>
            <w:tcW w:w="2220" w:type="dxa"/>
          </w:tcPr>
          <w:p w14:paraId="6CBF9AC5">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2025 (Devam Ediyor)</w:t>
            </w:r>
          </w:p>
        </w:tc>
        <w:tc>
          <w:tcPr>
            <w:tcW w:w="2955" w:type="dxa"/>
          </w:tcPr>
          <w:p w14:paraId="0DA1708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Yürütücü-Doç. Dr. Deniz AKYILDIZ</w:t>
            </w:r>
          </w:p>
          <w:p w14:paraId="0565BEF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Araştırmacı-Dr. Öğr. Üyesi Esra KARATAŞ OKYAY</w:t>
            </w:r>
          </w:p>
          <w:p w14:paraId="2B5AA7E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Araştırmacı-Dr. Öğr. Üyesi Semra PINAR-107.820,00 TL</w:t>
            </w:r>
          </w:p>
        </w:tc>
      </w:tr>
      <w:tr w14:paraId="25BB19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2" w:hRule="atLeast"/>
        </w:trPr>
        <w:tc>
          <w:tcPr>
            <w:tcW w:w="1875" w:type="dxa"/>
          </w:tcPr>
          <w:p w14:paraId="0F1E5F25">
            <w:pPr>
              <w:spacing w:before="6"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KSÜ BAP Münferit Araştırma Projesi</w:t>
            </w:r>
          </w:p>
        </w:tc>
        <w:tc>
          <w:tcPr>
            <w:tcW w:w="3210" w:type="dxa"/>
          </w:tcPr>
          <w:p w14:paraId="1B34D733">
            <w:pPr>
              <w:spacing w:before="6" w:line="360"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Silme Banyo Eğitiminin Yenidoğanlarda Erken Banyo, Vücut Isısı ve Göbek Kordonu Düşme Süresi Üzerine Etkisi:</w:t>
            </w:r>
          </w:p>
        </w:tc>
        <w:tc>
          <w:tcPr>
            <w:tcW w:w="2220" w:type="dxa"/>
          </w:tcPr>
          <w:p w14:paraId="55308150">
            <w:pPr>
              <w:spacing w:before="6"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2024-Tamamlandı</w:t>
            </w:r>
          </w:p>
          <w:p w14:paraId="40DDC656">
            <w:pPr>
              <w:spacing w:before="6"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Bitiş tarihi:22.12.2025 </w:t>
            </w:r>
          </w:p>
        </w:tc>
        <w:tc>
          <w:tcPr>
            <w:tcW w:w="2955" w:type="dxa"/>
          </w:tcPr>
          <w:p w14:paraId="170E96C7">
            <w:pPr>
              <w:spacing w:before="6"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Yürütücü:Doç. Dr. Deniz AKYILDIZ-96.879,00 TL</w:t>
            </w:r>
          </w:p>
        </w:tc>
      </w:tr>
      <w:tr w14:paraId="09999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9" w:hRule="atLeast"/>
        </w:trPr>
        <w:tc>
          <w:tcPr>
            <w:tcW w:w="1875" w:type="dxa"/>
          </w:tcPr>
          <w:p w14:paraId="15C848FF">
            <w:pPr>
              <w:spacing w:before="13"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KSÜ BAP Yüksek Lisans Tez Projesi</w:t>
            </w:r>
          </w:p>
        </w:tc>
        <w:tc>
          <w:tcPr>
            <w:tcW w:w="3210" w:type="dxa"/>
          </w:tcPr>
          <w:p w14:paraId="3FA51410">
            <w:pPr>
              <w:spacing w:before="13" w:line="360"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İlk Vajinal Muayenede Özel Geliştirilen Jinekolojik Şort Kullanımının Muayeneye Bağlı Ağrı, Anksiyete ve Memnuniyet</w:t>
            </w:r>
          </w:p>
          <w:p w14:paraId="3AFF70D8">
            <w:pPr>
              <w:spacing w:line="360" w:lineRule="auto"/>
              <w:ind w:left="112"/>
              <w:rPr>
                <w:rFonts w:ascii="Times New Roman" w:hAnsi="Times New Roman" w:eastAsia="Times New Roman" w:cs="Times New Roman"/>
                <w:sz w:val="24"/>
                <w:szCs w:val="24"/>
              </w:rPr>
            </w:pPr>
            <w:r>
              <w:rPr>
                <w:rFonts w:ascii="Times New Roman" w:hAnsi="Times New Roman" w:eastAsia="Times New Roman" w:cs="Times New Roman"/>
                <w:sz w:val="24"/>
                <w:szCs w:val="24"/>
              </w:rPr>
              <w:t>Üzerine Etkisi:</w:t>
            </w:r>
          </w:p>
        </w:tc>
        <w:tc>
          <w:tcPr>
            <w:tcW w:w="2220" w:type="dxa"/>
          </w:tcPr>
          <w:p w14:paraId="7498EFCC">
            <w:pPr>
              <w:spacing w:before="13"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2024-Tamamlandı</w:t>
            </w:r>
          </w:p>
          <w:p w14:paraId="2A346371">
            <w:pPr>
              <w:spacing w:before="13"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Bitiş tarihi: 29.10.2025</w:t>
            </w:r>
          </w:p>
        </w:tc>
        <w:tc>
          <w:tcPr>
            <w:tcW w:w="2955" w:type="dxa"/>
          </w:tcPr>
          <w:p w14:paraId="36D7A31E">
            <w:pPr>
              <w:spacing w:before="13"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Yürütücü:Doç. Dr. Deniz AKYILDIZ-16.905,23 TL</w:t>
            </w:r>
          </w:p>
        </w:tc>
      </w:tr>
      <w:tr w14:paraId="4C56E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84" w:hRule="atLeast"/>
        </w:trPr>
        <w:tc>
          <w:tcPr>
            <w:tcW w:w="1875" w:type="dxa"/>
          </w:tcPr>
          <w:p w14:paraId="6362B4DF">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KSÜ BAP Münferit Araştırma Projesi</w:t>
            </w:r>
          </w:p>
        </w:tc>
        <w:tc>
          <w:tcPr>
            <w:tcW w:w="3210" w:type="dxa"/>
          </w:tcPr>
          <w:p w14:paraId="5CC1CD31">
            <w:pPr>
              <w:spacing w:line="360" w:lineRule="auto"/>
              <w:ind w:left="112" w:right="547"/>
              <w:rPr>
                <w:rFonts w:ascii="Times New Roman" w:hAnsi="Times New Roman" w:eastAsia="Times New Roman" w:cs="Times New Roman"/>
                <w:sz w:val="24"/>
                <w:szCs w:val="24"/>
              </w:rPr>
            </w:pPr>
            <w:r>
              <w:rPr>
                <w:rFonts w:ascii="Times New Roman" w:hAnsi="Times New Roman" w:eastAsia="Times New Roman" w:cs="Times New Roman"/>
                <w:sz w:val="24"/>
                <w:szCs w:val="24"/>
              </w:rPr>
              <w:t>Kahramanmaraş Depremleri Sırasında Hastane Tıbbi Hizmet Sorumlularının Deneyimlerinin SWOT Analizi</w:t>
            </w:r>
          </w:p>
        </w:tc>
        <w:tc>
          <w:tcPr>
            <w:tcW w:w="2220" w:type="dxa"/>
          </w:tcPr>
          <w:p w14:paraId="11E9A626">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2024-Tamamlandı</w:t>
            </w:r>
          </w:p>
          <w:p w14:paraId="4B97AF02">
            <w:pPr>
              <w:spacing w:before="6"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Bitiş tarihi: 26.06.2025</w:t>
            </w:r>
          </w:p>
        </w:tc>
        <w:tc>
          <w:tcPr>
            <w:tcW w:w="2955" w:type="dxa"/>
          </w:tcPr>
          <w:p w14:paraId="1521CA34">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Yürütücü: Dr. Hamdi ÖZTÜRK- Araştırmacı: Doç. Dr. Deniz AKYILDIZ-:65.159,00 TL</w:t>
            </w:r>
          </w:p>
        </w:tc>
      </w:tr>
      <w:tr w14:paraId="5FCDF7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84" w:hRule="atLeast"/>
        </w:trPr>
        <w:tc>
          <w:tcPr>
            <w:tcW w:w="1875" w:type="dxa"/>
          </w:tcPr>
          <w:p w14:paraId="3C8E2073">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KSÜ BAP Münferit Araştırma Projesi</w:t>
            </w:r>
          </w:p>
        </w:tc>
        <w:tc>
          <w:tcPr>
            <w:tcW w:w="3210" w:type="dxa"/>
          </w:tcPr>
          <w:p w14:paraId="337FB073">
            <w:pPr>
              <w:spacing w:line="360" w:lineRule="auto"/>
              <w:ind w:left="112" w:right="547"/>
              <w:rPr>
                <w:rFonts w:ascii="Times New Roman" w:hAnsi="Times New Roman" w:eastAsia="Times New Roman" w:cs="Times New Roman"/>
                <w:sz w:val="24"/>
                <w:szCs w:val="24"/>
              </w:rPr>
            </w:pPr>
            <w:r>
              <w:rPr>
                <w:rFonts w:ascii="Times New Roman" w:hAnsi="Times New Roman" w:eastAsia="Times New Roman" w:cs="Times New Roman"/>
                <w:sz w:val="24"/>
                <w:szCs w:val="24"/>
              </w:rPr>
              <w:t>Yetersiz Süt Algısı Olan Annelere Yapılan Motivasyonel Görüşmelerin Emzirme Motivasyonu ve Kortizol Düzeyine Etkisi</w:t>
            </w:r>
          </w:p>
        </w:tc>
        <w:tc>
          <w:tcPr>
            <w:tcW w:w="2220" w:type="dxa"/>
          </w:tcPr>
          <w:p w14:paraId="44A0E8FE">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2024 (Bitiş tarihi-26.06.2025)</w:t>
            </w:r>
          </w:p>
        </w:tc>
        <w:tc>
          <w:tcPr>
            <w:tcW w:w="2955" w:type="dxa"/>
          </w:tcPr>
          <w:p w14:paraId="6C174178">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Dr. Öğr. Üyesi Esra KARATAŞ OKYAY</w:t>
            </w:r>
          </w:p>
          <w:p w14:paraId="533799B2">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(Toplanan harcanan </w:t>
            </w:r>
          </w:p>
          <w:p w14:paraId="17101A4F">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bütçe: 41.808 TL)</w:t>
            </w:r>
          </w:p>
        </w:tc>
      </w:tr>
      <w:tr w14:paraId="2F6E6B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5" w:hRule="atLeast"/>
        </w:trPr>
        <w:tc>
          <w:tcPr>
            <w:tcW w:w="1875" w:type="dxa"/>
          </w:tcPr>
          <w:p w14:paraId="7BA0C3E8">
            <w:pPr>
              <w:spacing w:line="360" w:lineRule="auto"/>
              <w:ind w:left="11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Çukurova Üniversitesi BAP Münferit Araştırma Projesi</w:t>
            </w:r>
          </w:p>
        </w:tc>
        <w:tc>
          <w:tcPr>
            <w:tcW w:w="3210" w:type="dxa"/>
          </w:tcPr>
          <w:p w14:paraId="618889E0">
            <w:pPr>
              <w:spacing w:line="360" w:lineRule="auto"/>
              <w:ind w:left="112" w:right="547"/>
              <w:rPr>
                <w:rFonts w:ascii="Times New Roman" w:hAnsi="Times New Roman" w:eastAsia="Times New Roman" w:cs="Times New Roman"/>
                <w:sz w:val="24"/>
                <w:szCs w:val="24"/>
              </w:rPr>
            </w:pPr>
            <w:r>
              <w:rPr>
                <w:rFonts w:ascii="Times New Roman" w:hAnsi="Times New Roman" w:eastAsia="Times New Roman" w:cs="Times New Roman"/>
                <w:sz w:val="24"/>
                <w:szCs w:val="24"/>
              </w:rPr>
              <w:t>Empatik İletişim Temelli Eğitimin Kadınların Pozitif Doğum Algısı Farkındalığı ve Doğum Deneyimine Etkisi</w:t>
            </w:r>
          </w:p>
        </w:tc>
        <w:tc>
          <w:tcPr>
            <w:tcW w:w="2220" w:type="dxa"/>
          </w:tcPr>
          <w:p w14:paraId="4E1E341C">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2024 (04.01.2025 bitti)</w:t>
            </w:r>
          </w:p>
          <w:p w14:paraId="77C1F8ED">
            <w:pPr>
              <w:spacing w:line="360" w:lineRule="auto"/>
              <w:ind w:left="102"/>
              <w:rPr>
                <w:rFonts w:ascii="Times New Roman" w:hAnsi="Times New Roman" w:eastAsia="Times New Roman" w:cs="Times New Roman"/>
                <w:color w:val="FFFF00"/>
                <w:sz w:val="24"/>
                <w:szCs w:val="24"/>
              </w:rPr>
            </w:pPr>
          </w:p>
        </w:tc>
        <w:tc>
          <w:tcPr>
            <w:tcW w:w="2955" w:type="dxa"/>
          </w:tcPr>
          <w:p w14:paraId="6777855F">
            <w:pPr>
              <w:spacing w:line="360" w:lineRule="auto"/>
              <w:ind w:left="101"/>
              <w:rPr>
                <w:rFonts w:ascii="Times New Roman" w:hAnsi="Times New Roman" w:eastAsia="Times New Roman" w:cs="Times New Roman"/>
                <w:sz w:val="24"/>
                <w:szCs w:val="24"/>
              </w:rPr>
            </w:pPr>
            <w:r>
              <w:rPr>
                <w:rFonts w:ascii="Times New Roman" w:hAnsi="Times New Roman" w:eastAsia="Times New Roman" w:cs="Times New Roman"/>
                <w:sz w:val="24"/>
                <w:szCs w:val="24"/>
              </w:rPr>
              <w:t>Dr. Öğr. Emine AKSÜT AKÇAY</w:t>
            </w:r>
          </w:p>
          <w:p w14:paraId="6F446F4A">
            <w:pPr>
              <w:spacing w:line="360" w:lineRule="auto"/>
              <w:ind w:left="102"/>
              <w:rPr>
                <w:rFonts w:ascii="Times New Roman" w:hAnsi="Times New Roman" w:eastAsia="Times New Roman" w:cs="Times New Roman"/>
                <w:sz w:val="24"/>
                <w:szCs w:val="24"/>
              </w:rPr>
            </w:pPr>
            <w:r>
              <w:rPr>
                <w:rFonts w:ascii="Times New Roman" w:hAnsi="Times New Roman" w:eastAsia="Times New Roman" w:cs="Times New Roman"/>
                <w:sz w:val="24"/>
                <w:szCs w:val="24"/>
              </w:rPr>
              <w:t>bütçe:11800 TL</w:t>
            </w:r>
          </w:p>
        </w:tc>
      </w:tr>
    </w:tbl>
    <w:p w14:paraId="26F95D14">
      <w:pPr>
        <w:pStyle w:val="53"/>
        <w:spacing w:line="360" w:lineRule="auto"/>
        <w:jc w:val="both"/>
        <w:rPr>
          <w:rFonts w:ascii="Times New Roman" w:hAnsi="Times New Roman" w:cs="Times New Roman"/>
        </w:rPr>
      </w:pPr>
    </w:p>
    <w:p w14:paraId="0FD55F17">
      <w:pPr>
        <w:pStyle w:val="53"/>
        <w:spacing w:before="257"/>
        <w:rPr>
          <w:rFonts w:ascii="Times New Roman" w:hAnsi="Times New Roman" w:cs="Times New Roman"/>
          <w:b/>
          <w:bCs/>
          <w:spacing w:val="-2"/>
          <w:sz w:val="24"/>
          <w:szCs w:val="24"/>
        </w:rPr>
      </w:pPr>
      <w:r>
        <w:rPr>
          <w:rFonts w:ascii="Times New Roman" w:hAnsi="Times New Roman" w:cs="Times New Roman"/>
          <w:b/>
          <w:bCs/>
          <w:sz w:val="24"/>
          <w:szCs w:val="24"/>
        </w:rPr>
        <w:t>A.3.4.</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Süreç</w:t>
      </w:r>
      <w:r>
        <w:rPr>
          <w:rFonts w:ascii="Times New Roman" w:hAnsi="Times New Roman" w:cs="Times New Roman"/>
          <w:b/>
          <w:bCs/>
          <w:spacing w:val="-2"/>
          <w:sz w:val="24"/>
          <w:szCs w:val="24"/>
        </w:rPr>
        <w:t xml:space="preserve"> yönetimi</w:t>
      </w:r>
    </w:p>
    <w:p w14:paraId="2C3C3D2E">
      <w:pPr>
        <w:pStyle w:val="21"/>
        <w:keepNext w:val="0"/>
        <w:keepLines w:val="0"/>
        <w:widowControl/>
        <w:suppressLineNumbers w:val="0"/>
        <w:spacing w:line="360" w:lineRule="auto"/>
        <w:jc w:val="both"/>
        <w:rPr>
          <w:rFonts w:hint="default"/>
          <w:lang w:val="tr-TR"/>
        </w:rPr>
      </w:pPr>
      <w:r>
        <w:t xml:space="preserve">Sağlık Bilimleri Fakültesi, eğitim-öğretim ve yönetim süreçlerini tanımlı iş akışları, dijitalleşme ve katılımcı yönetim anlayışıyla entegre bir şekilde yürütmektedir. Hemşirelik, Fizyoterapi ve Rehabilitasyon ile Ebelik bölümlerinde her dönem başında ve sonunda gerçekleştirilen akademik kurullar; ders dağılımlarının şeffaf bir şekilde planlanması ve süreç çıktılarının değerlendirilerek iyileştirme adımlarının belirlenmesi için temel platform işlevi görmektedir. Kurumsal hafızanın korunması ve akademik performansın veri temelli takibi amacıyla KSÜ-VERSİS bilişim sistemi tüm bölümlerde etkin olarak kullanılırken; akreditasyon odaklı alt çalışma grupları ve özelleşmiş komisyonlar aracılığıyla süreçlerin standardizasyonu ve denetimi sağlanmaktadır. Bu sistematik yapı, fakülte genelinde süreç yönetiminin tesadüfi olmaktan çıkarılarak, izlenebilir ve sürekli geliştirilebilir bir kurumsal modele dönüşmesini </w:t>
      </w:r>
      <w:r>
        <w:rPr>
          <w:rFonts w:hint="default"/>
          <w:lang w:val="tr-TR"/>
        </w:rPr>
        <w:t>sağlamaktadır.</w:t>
      </w:r>
    </w:p>
    <w:p w14:paraId="0A4229BF">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Hemşirelik</w:t>
      </w:r>
    </w:p>
    <w:p w14:paraId="09541892">
      <w:pPr>
        <w:pStyle w:val="53"/>
        <w:spacing w:before="241" w:line="360" w:lineRule="auto"/>
        <w:ind w:right="107"/>
        <w:jc w:val="both"/>
        <w:rPr>
          <w:rFonts w:hint="default" w:ascii="Times New Roman" w:hAnsi="Times New Roman" w:cs="Times New Roman"/>
          <w:lang w:val="tr-TR"/>
        </w:rPr>
      </w:pPr>
      <w:r>
        <w:rPr>
          <w:rFonts w:ascii="Times New Roman" w:hAnsi="Times New Roman" w:eastAsia="Times New Roman" w:cs="Times New Roman"/>
          <w:sz w:val="24"/>
          <w:szCs w:val="24"/>
        </w:rPr>
        <w:t>KSÜ Hemşirelik Bölümü’nde eğitim-öğretim ve yönetim süreçleri, tanımlı iş akışları ve sistematik akademik kurul toplantıları aracılığıyla yönetilmektedir. Süreçlerin etkin yürütülmesi amacıyla her dönem başında ve sonunda Bölüm Başkanlığı koordinesinde akademik kurul toplantıları gerçekleştirilmektedir. Bu toplantılarda ders dağılımları, anabilim dallarının uzmanlık alanları ve öğretim elemanlarının görüşleri doğrultusunda şeffaf bir şekilde karara bağlanmaktadır. Dönem sonu değerlendirme toplantılarıyla ise sürecin çıktıları analiz edilmekte ve bir sonraki dönem için iyileştirme planları oluşturulmaktadır</w:t>
      </w:r>
      <w:r>
        <w:rPr>
          <w:rFonts w:ascii="Times New Roman" w:hAnsi="Times New Roman" w:eastAsia="Times New Roman" w:cs="Times New Roman"/>
        </w:rPr>
        <w:t xml:space="preserve"> (</w:t>
      </w:r>
      <w:r>
        <w:fldChar w:fldCharType="begin"/>
      </w:r>
      <w:r>
        <w:instrText xml:space="preserve"> HYPERLINK "https://drive.google.com/file/d/1jRNaudnkZjHynD-mTMhCHmhB1ojFyt5G/view?usp=sharing" \h </w:instrText>
      </w:r>
      <w:r>
        <w:fldChar w:fldCharType="separate"/>
      </w:r>
      <w:r>
        <w:rPr>
          <w:rStyle w:val="20"/>
          <w:rFonts w:ascii="Times New Roman" w:hAnsi="Times New Roman" w:eastAsia="Times New Roman" w:cs="Times New Roman"/>
        </w:rPr>
        <w:t>OD3</w:t>
      </w:r>
      <w:r>
        <w:rPr>
          <w:rStyle w:val="20"/>
          <w:rFonts w:ascii="Times New Roman" w:hAnsi="Times New Roman" w:eastAsia="Times New Roman" w:cs="Times New Roman"/>
        </w:rPr>
        <w:fldChar w:fldCharType="end"/>
      </w:r>
      <w:r>
        <w:rPr>
          <w:rFonts w:ascii="Times New Roman" w:hAnsi="Times New Roman" w:eastAsia="Times New Roman" w:cs="Times New Roman"/>
        </w:rPr>
        <w:t xml:space="preserve">, </w:t>
      </w:r>
      <w:r>
        <w:fldChar w:fldCharType="begin"/>
      </w:r>
      <w:r>
        <w:instrText xml:space="preserve"> HYPERLINK "https://drive.google.com/file/d/1AOYACmxMzFcXlVlOlhhrnpPyXf86OsSl/view?usp=sharing" \h </w:instrText>
      </w:r>
      <w:r>
        <w:fldChar w:fldCharType="separate"/>
      </w:r>
      <w:r>
        <w:rPr>
          <w:rStyle w:val="20"/>
          <w:rFonts w:ascii="Times New Roman" w:hAnsi="Times New Roman" w:eastAsia="Times New Roman" w:cs="Times New Roman"/>
        </w:rPr>
        <w:t>OD3</w:t>
      </w:r>
      <w:r>
        <w:rPr>
          <w:rStyle w:val="20"/>
          <w:rFonts w:ascii="Times New Roman" w:hAnsi="Times New Roman" w:eastAsia="Times New Roman" w:cs="Times New Roman"/>
        </w:rPr>
        <w:fldChar w:fldCharType="end"/>
      </w:r>
      <w:r>
        <w:rPr>
          <w:rFonts w:ascii="Times New Roman" w:hAnsi="Times New Roman" w:eastAsia="Times New Roman" w:cs="Times New Roman"/>
        </w:rPr>
        <w:t>)</w:t>
      </w:r>
      <w:r>
        <w:rPr>
          <w:rFonts w:hint="default" w:ascii="Times New Roman" w:hAnsi="Times New Roman" w:eastAsia="Times New Roman" w:cs="Times New Roman"/>
          <w:lang w:val="tr-TR"/>
        </w:rPr>
        <w:t>.</w:t>
      </w:r>
    </w:p>
    <w:p w14:paraId="7A3F5414">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Bölümdeki süreçlerin izlenebilirliğini sağlamak ve kurumsal hafızayı korumak amacıyla bilişim sistemlerinden aktif olarak yararlanılmaktadır. Akademik personelin bilimsel faaliyetleri (makale, bildiri, proje vb.), KSÜ-VERSİS (Veri Yönetim Sistemi) üzerine düzenli olarak işlenmektedir. Bu sistem, kurumun araştırma-geliştirme performansının ölçülmesine ve süreçlerin veri temelli yönetilmesine olanak tanımaktadır. Verilerin dijital ortamda kayıt altına alınması, süreç yönetiminde standardizasyonu sağlamakta ve akreditasyon hazırlık süreci için gerekli olan kanıt mekanizmasını güçlendirmektedir. </w:t>
      </w:r>
    </w:p>
    <w:p w14:paraId="6A898890">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Süreç yönetiminin daha spesifik alanlarda derinleşmesi amacıyla Akreditasyon Komisyonu bünyesinde alt çalışma grupları oluşturulmuştur. Özellikle "Ölçme-Değerlendirme, Soru Analizi ve Evrak Yönetimi Grubu", eğitim süreçlerinin en kritik aşaması olan ölçme araçlarının kalitesini ve dokümantasyon düzenini kontrol etmektedir. Bu yapı, sınav sorularının analizinden evrakların arşivlenmesine kadar tüm iş akışlarının tanımlı sorumlular aracılığıyla yürütülmesini sağlamaktadır. Bu tür özelleşmiş gruplar, süreçlerin sadece yürütülmesini değil, aynı zamanda denetlenmesini ve geliştirilmesini de garanti altına almaktadır. (</w:t>
      </w:r>
      <w:r>
        <w:fldChar w:fldCharType="begin"/>
      </w:r>
      <w:r>
        <w:instrText xml:space="preserve"> HYPERLINK "https://drive.google.com/file/d/1iiVXbrwQqvw5P5wK5xFiIV8im5uAi17S/view?usp=sharing"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"https://drive.google.com/file/d/1Z8GyLxn2_z4IORb2lnB4Ma_1aDapZ9iN/view?usp=sharing"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27482E46">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Fizyoterapi ve Rehabilitasyon</w:t>
      </w:r>
    </w:p>
    <w:p w14:paraId="086C541A">
      <w:pPr>
        <w:pStyle w:val="53"/>
        <w:spacing w:before="257" w:line="360" w:lineRule="auto"/>
        <w:jc w:val="both"/>
        <w:rPr>
          <w:rFonts w:ascii="Times New Roman" w:hAnsi="Times New Roman" w:cs="Times New Roman"/>
          <w:bCs/>
          <w:sz w:val="24"/>
          <w:szCs w:val="24"/>
        </w:rPr>
      </w:pPr>
      <w:r>
        <w:rPr>
          <w:rFonts w:ascii="Times New Roman" w:hAnsi="Times New Roman" w:cs="Times New Roman"/>
          <w:bCs/>
          <w:sz w:val="24"/>
          <w:szCs w:val="24"/>
        </w:rPr>
        <w:t>KSÜ Sağlık Bilimleri Fakültesi Fizyoterapi ve Rehabilitasyon bölüm akademik kurulu, 2024-2025 eğitim öğretim yılı, bahar dönemi ve dönem dersleriyle ilgili çalışmaların yürütülmesi için 19.01.2025 tarihinde Fizyoterapi ve Rehabilitasyon Bölüm Başkanı Doç.Dr. Hatice ADIGÜZEL TAT’ın başkanlığında bölüm hocalarının katılımıyla toplanmıştır. Toplantı içeriğinde dönem başlangıçlarında ders dağılımları ilgili hocalarının görüşleri alınmış ve anabilim dallarına uygun şekilde ders dağılımları yapılmıştır.</w:t>
      </w:r>
    </w:p>
    <w:p w14:paraId="3EE3302E">
      <w:pPr>
        <w:pStyle w:val="53"/>
        <w:spacing w:before="2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KSÜ Sağlık Bilimleri Fakültesi </w:t>
      </w:r>
      <w:r>
        <w:rPr>
          <w:rFonts w:ascii="Times New Roman" w:hAnsi="Times New Roman" w:cs="Times New Roman"/>
          <w:sz w:val="24"/>
          <w:szCs w:val="24"/>
        </w:rPr>
        <w:t>Fizyoterapi ve Rehabilitasyon</w:t>
      </w:r>
      <w:r>
        <w:rPr>
          <w:rFonts w:ascii="Times New Roman" w:hAnsi="Times New Roman" w:cs="Times New Roman"/>
          <w:bCs/>
          <w:sz w:val="24"/>
          <w:szCs w:val="24"/>
        </w:rPr>
        <w:t xml:space="preserve"> bölüm akademik kurulu, 2025-2026 eğitim öğretim yılı, güz dönemi ve dönem dersleriyle ilgili çalışmaların yürütülmesi için 25.09.2025 tarihinde Fizyoterapi ve Rehabilitasyon Bölüm Başkanı Doç.Dr. Hatice ADIGÜZEL TAT’ın  başkanlığında bölüm hocalarının katılımıyla toplanmıştır. Toplantı içeriğinde dönem başlangıçlarında ders dağılımları ilgili hocalarının görüşleri alınmış ve anabilim dallarına uygun şekilde ders dağılımları yapılmıştır.</w:t>
      </w:r>
    </w:p>
    <w:p w14:paraId="2CBC1A2C">
      <w:pPr>
        <w:pStyle w:val="53"/>
        <w:spacing w:before="2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KSÜ Sağlık Bilimleri Fakültesi Fizyoterapi ve Rehabilitasyon Bölüm kurumsal hafızanın korunması amacıyla veriler (makale, bildiri, proje gibi)  KSÜ-VERSİS sistemine girilmektedir.  </w:t>
      </w:r>
    </w:p>
    <w:p w14:paraId="4E76033F">
      <w:pPr>
        <w:pStyle w:val="2"/>
        <w:spacing w:line="360" w:lineRule="auto"/>
        <w:rPr>
          <w:rFonts w:ascii="Times New Roman" w:hAnsi="Times New Roman" w:cs="Times New Roman"/>
          <w:color w:val="auto"/>
          <w:sz w:val="22"/>
          <w:szCs w:val="22"/>
        </w:rPr>
      </w:pPr>
    </w:p>
    <w:p w14:paraId="1723FB83">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Ebelik</w:t>
      </w:r>
    </w:p>
    <w:p w14:paraId="042D83F9">
      <w:pPr>
        <w:pBdr>
          <w:top w:val="none" w:color="auto" w:sz="0" w:space="0"/>
          <w:left w:val="none" w:color="auto" w:sz="0" w:space="0"/>
          <w:bottom w:val="none" w:color="auto" w:sz="0" w:space="0"/>
          <w:right w:val="none" w:color="auto" w:sz="0" w:space="0"/>
          <w:between w:val="none" w:color="auto" w:sz="0" w:space="0"/>
        </w:pBdr>
        <w:spacing w:before="241" w:line="360" w:lineRule="auto"/>
        <w:ind w:right="107"/>
        <w:jc w:val="both"/>
        <w:rPr>
          <w:rFonts w:hint="default" w:ascii="Times New Roman" w:hAnsi="Times New Roman" w:eastAsia="Times New Roman" w:cs="Times New Roman"/>
          <w:color w:val="000000"/>
          <w:sz w:val="24"/>
          <w:szCs w:val="24"/>
          <w:lang w:val="tr-TR"/>
        </w:rPr>
      </w:pPr>
      <w:r>
        <w:rPr>
          <w:rFonts w:ascii="Times New Roman" w:hAnsi="Times New Roman" w:eastAsia="Times New Roman" w:cs="Times New Roman"/>
          <w:color w:val="000000"/>
          <w:sz w:val="24"/>
          <w:szCs w:val="24"/>
        </w:rPr>
        <w:t xml:space="preserve">KSÜ </w:t>
      </w:r>
      <w:r>
        <w:rPr>
          <w:rFonts w:ascii="Times New Roman" w:hAnsi="Times New Roman" w:eastAsia="Times New Roman" w:cs="Times New Roman"/>
          <w:sz w:val="24"/>
          <w:szCs w:val="24"/>
        </w:rPr>
        <w:t>Ebelik</w:t>
      </w:r>
      <w:r>
        <w:rPr>
          <w:rFonts w:ascii="Times New Roman" w:hAnsi="Times New Roman" w:eastAsia="Times New Roman" w:cs="Times New Roman"/>
          <w:color w:val="000000"/>
          <w:sz w:val="24"/>
          <w:szCs w:val="24"/>
        </w:rPr>
        <w:t xml:space="preserve"> Bölümü’nde eğitim-öğretim ve yönetim süreçleri, tanımlı iş akışları ve sistematik akademik kurul toplantıları aracılığıyla yönetilmektedir. Süreçlerin etkin yürütülmesi amacıyla her dönem başında ve sonunda Bölüm Başkanlığı koordinesinde akademik kurul toplantıları gerçekleştirilmektedir. Bu toplantılarda ders dağılımları, anabilim dallarının uzmanlık alanları ve öğretim elemanlarının görüşleri doğrultusunda şeffaf bir şekilde karara bağlanmaktadır. Dönem sonu değerlendirme toplantılarıyla ise sürecin çıktıları analiz edilmekte ve bir sonraki dönem için iyileştirme planları oluşturulmaktadır</w:t>
      </w:r>
      <w:r>
        <w:rPr>
          <w:rFonts w:hint="default" w:ascii="Times New Roman" w:hAnsi="Times New Roman" w:eastAsia="Times New Roman" w:cs="Times New Roman"/>
          <w:color w:val="000000"/>
          <w:sz w:val="24"/>
          <w:szCs w:val="24"/>
          <w:lang w:val="tr-TR"/>
        </w:rPr>
        <w:t xml:space="preserve"> </w:t>
      </w:r>
      <w:r>
        <w:rPr>
          <w:rFonts w:ascii="Times New Roman" w:hAnsi="Times New Roman" w:eastAsia="Times New Roman" w:cs="Times New Roman"/>
          <w:color w:val="000000"/>
          <w:sz w:val="24"/>
          <w:szCs w:val="24"/>
        </w:rPr>
        <w:t>(</w:t>
      </w:r>
      <w:r>
        <w:fldChar w:fldCharType="begin"/>
      </w:r>
      <w:r>
        <w:instrText xml:space="preserve"> HYPERLINK "https://drive.google.com/drive/folders/1G3S7WQBZwhJzdkwONu3ORVqEhqlrdOj2"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00000"/>
          <w:sz w:val="24"/>
          <w:szCs w:val="24"/>
        </w:rPr>
        <w:t>)</w:t>
      </w:r>
      <w:r>
        <w:rPr>
          <w:rFonts w:hint="default" w:ascii="Times New Roman" w:hAnsi="Times New Roman" w:eastAsia="Times New Roman" w:cs="Times New Roman"/>
          <w:color w:val="000000"/>
          <w:sz w:val="24"/>
          <w:szCs w:val="24"/>
          <w:lang w:val="tr-TR"/>
        </w:rPr>
        <w:t>.</w:t>
      </w:r>
    </w:p>
    <w:p w14:paraId="612C8FB1">
      <w:pPr>
        <w:pStyle w:val="2"/>
        <w:spacing w:after="240"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 xml:space="preserve">Bölümdeki süreçlerin izlenebilirliğini sağlamak ve kurumsal hafızayı korumak amacıyla bilişim sistemlerinden aktif olarak yararlanılmaktadır. Akademik personelin bilimsel faaliyetleri (makale, bildiri, proje vb.), KSÜ-VERSİS (Veri Yönetim Sistemi) üzerine düzenli olarak işlenmektedir. Bu sistem, kurumun araştırma-geliştirme performansının ölçülmesine ve süreçlerin veri temelli yönetilmesine olanak tanımaktadır. Verilerin dijital ortamda kayıt altına alınması, süreç yönetiminde standardizasyonu sağlamakta ve akreditasyon hazırlık süreci için gerekli olan kanıt mekanizmasını güçlendirmektedir. </w:t>
      </w:r>
    </w:p>
    <w:p w14:paraId="380B37DF">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A.4. Paydaş Katılımı</w:t>
      </w:r>
      <w:r>
        <w:rPr>
          <w:rFonts w:ascii="Times New Roman" w:hAnsi="Times New Roman" w:eastAsia="Times New Roman" w:cs="Times New Roman"/>
          <w:sz w:val="24"/>
          <w:szCs w:val="24"/>
        </w:rPr>
        <w:t xml:space="preserve"> </w:t>
      </w:r>
    </w:p>
    <w:p w14:paraId="07256C2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Birimde kalite güvencesi, eğitim ve öğretim, araştırma ve geliştirme, toplumsal katkı, yönetim sistemi ve uluslararasılaşma süreçlerinin PUKÖ katmanlarına paydaş katılımını sağlamak için uygulamalar</w:t>
      </w:r>
      <w:r>
        <w:rPr>
          <w:rFonts w:hint="default" w:ascii="Times New Roman" w:hAnsi="Times New Roman" w:eastAsia="Times New Roman" w:cs="Times New Roman"/>
          <w:sz w:val="24"/>
          <w:szCs w:val="24"/>
          <w:lang w:val="tr-TR"/>
        </w:rPr>
        <w:t xml:space="preserve"> </w:t>
      </w:r>
      <w:r>
        <w:rPr>
          <w:rFonts w:ascii="Times New Roman" w:hAnsi="Times New Roman" w:eastAsia="Times New Roman" w:cs="Times New Roman"/>
          <w:sz w:val="24"/>
          <w:szCs w:val="24"/>
        </w:rPr>
        <w:t>bulunmaktadır.</w:t>
      </w:r>
    </w:p>
    <w:p w14:paraId="0D0DB9DA">
      <w:pPr>
        <w:spacing w:after="160" w:line="257"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A.4.1. İç ve dış paydaş katılımı</w:t>
      </w:r>
    </w:p>
    <w:p w14:paraId="54F91BE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3B04D2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Hemşirelik Bölümünde, kalite güvence sisteminin sürdürülebilirliğini sağlamak amacıyla iç ve dış paydaşların karar alma ve iyileştirme süreçlerine katılımını destekleyen çok boyutlu mekanizmalar işletilmektedir. İç paydaşların (öğrenci, akademik ve idari personel) eğitim-öğretim ve yönetim süreçlerine aktif katılımı; ders değerlendirme anketleri, memnuniyet anketleri ve öğrenci temsilcilerinin bölüm komisyonlarında (Bölüm Kurulu, Eğitim Komisyonu vb.) yer alması vb. aracılığıyla sağlanmaktadır (</w:t>
      </w:r>
      <w:r>
        <w:fldChar w:fldCharType="begin"/>
      </w:r>
      <w:r>
        <w:instrText xml:space="preserve"> HYPERLINK "https://sbfhemsirelik.ksu.edu.tr/depo/belgeler/E%C4%9Fitim-%20%C3%96%C4%9Fretim%20Komisyonu_2511171529103321.pdf" \h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"https://sbfhemsirelik.ksu.edu.tr/depo/belgeler/Birim%20Staj%20ve%20E%C4%9Fitim%20Uygulama%20Kurulu_2511171535308790.pdf" \h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İç paydaş katılımını artırmak amacıyla 2025'te başlatılan 'Sessiz Kutu' uygulamasıyla, öğrencilerin dilek ve şikayet süreçleri kolaylaştırılmış ve geri bildirim mekanizması güçlendirilmiştir. Akademik personel ise Eğitim-Öğretim, Ar-Ge, Toplumsal Katkı ve Yönetişim süreçlerine, toplam 19 farklı komisyonda görev alarak doğrudan dahil olmaktadır.</w:t>
      </w:r>
    </w:p>
    <w:p w14:paraId="4D8BA728">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Dış paydaşların katılımı ise 'Dış Paydaş Danışma Kurulu' aracılığıyla sistematik hale getirilmiştir. 2025 yılı içerisinde gerçekleştirilen KSÜ Sağlık Uygulama ve Araştırma Hastanesi (SUAH) odaklı toplantı tutanakları ile dış paydaşların müfredat güncelleme ve klinik uygulama süreçlerine dair görüşleri kayıt altına alınmıştır (</w:t>
      </w:r>
      <w:r>
        <w:fldChar w:fldCharType="begin"/>
      </w:r>
      <w:r>
        <w:instrText xml:space="preserve"> HYPERLINK "https://drive.google.com/file/d/1KD4QphjUR_KDKZOpDdmRh7L6OlhZnusJ/view?usp=sharing" \h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01987DFB">
      <w:pPr>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Bölümümüzün kalite güvencesi sistemi kapsamında 2024 ve 2025 yıllarında gerçekleştirilen paydaş memnuniyet analizleri, eğitim-öğretim ve yönetim süreçlerinin verimliliğine dair önemli veriler sunmaktadır. Akademik personelin genel memnuniyet oranı %76,6 olarak belirlenirken (</w:t>
      </w:r>
      <w:r>
        <w:fldChar w:fldCharType="begin"/>
      </w:r>
      <w:r>
        <w:instrText xml:space="preserve"> HYPERLINK "https://docs.google.com/document/d/1iOg3UEgBdLmUtCgb42JzIxNenPeRKyxv/edit?usp=sharing&amp;ouid=117558475916650171620&amp;rtpof=true&amp;sd=true"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idari personelin katılımı ile gerçekleştirilen analizlerde ise %70,2 oranında bir memnuniyet düzeyi saptanmıştır (</w:t>
      </w:r>
      <w:r>
        <w:fldChar w:fldCharType="begin"/>
      </w:r>
      <w:r>
        <w:instrText xml:space="preserve"> HYPERLINK "https://docs.google.com/document/d/1p39AoHb8WqXnuhl7zPKCE8M-5MheI4xr/edit?usp=sharing&amp;ouid=117558475916650171620&amp;rtpof=true&amp;sd=true"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Bu veriler, bölüm içerisindeki akademik ve idari işleyişin personel nezdinde kabul gördüğünü ve kurumsal bağlılığın güçlü olduğunu kanıtlamaktadır.</w:t>
      </w:r>
    </w:p>
    <w:p w14:paraId="5225AE7F">
      <w:pPr>
        <w:spacing w:before="240" w:after="240" w:line="360" w:lineRule="auto"/>
        <w:jc w:val="both"/>
      </w:pPr>
      <w:r>
        <w:rPr>
          <w:rFonts w:ascii="Times New Roman" w:hAnsi="Times New Roman" w:eastAsia="Times New Roman" w:cs="Times New Roman"/>
          <w:sz w:val="24"/>
          <w:szCs w:val="24"/>
        </w:rPr>
        <w:t>Dış paydaş ve mezun geri bildirimleri, program çıktılarının sahadaki karşılığını ölçmek adına sistematik olarak değerlendirilmektedir. Mezunlarımızın 'Mesleki Beceri ve Donanım' konusundaki memnuniyet düzeyi %75,8 gibi güçlü bir oranda seyrederken; dış paydaş anketleri, mezunlarımızın profesyonel yeterliliği konusunda kurumların duyduğu güveni doğrulamaktadır. Dış paydaş memnuniyet sonuçlarına göre, 'Mezunlarımızın Yeterliliği' %83 (4.15±0.70) ile en yüksek skorlardan birini alırken, 'Kurumsal İmaj' %74,6 seviyesinde gerçekleşmiştir. Anket sonuçlarında nispeten daha düşük çıkan 'Kurumsal İlgi ve Talepler' (%67,4) başlığı, PUKÖ döngüsü kapsamında iyileştirmeye açık alan olarak tanımlanmış ve dış paydaşlarla iletişim kanallarının dijitalleşmesi ve sıklaştırılması yönünde stratejik planlamalar başlatılmıştır.</w:t>
      </w:r>
    </w:p>
    <w:p w14:paraId="0AA40D57">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Hemşirelik bölümünde İç ve dış paydaşların kalite süreçlerine katılımlarını sağlamak amacıyla çeşitli mekanizmalar işletilmektedir. İç paydaşların eğitim öğretim süreçlerine katılımlarını sağlamak amacıyla ders değerlendirme anketleri, öğrencilerin bölüm komisyonlarında temsil edilmesi gibi uygulamalar mevcuttur. Dış paydaşların katılımlarını sağlamak amacıyla yılda en az bir kez olmak üzere dış paydaş toplantıları düzenlenmektedir. İç paydaşlardan olan Akademik Personel Eğitim Öğretim, Araştırma Geliştirme ve Toplumsal Katkı, Yönetişim konularında karar alma süreçlerine katılımları komisyon görevleri yolu ile olmaktadır.</w:t>
      </w:r>
    </w:p>
    <w:p w14:paraId="52A08152">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Dış Paydaş Danışma kurulu toplantıları aracılığı ile dış paydaş katılımı alınmakta ve izlenmektedir. 2025 yılında bir adet toplantı Dış Paydaş Danışma Kurulu Toplantısı yapılmıştır (OD3).</w:t>
      </w:r>
    </w:p>
    <w:p w14:paraId="728E01E6">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Dış paydaş memnuniyeti Hemşirelik bölümünde “Dış Paydaş Memnuniyet Anketi” ile alınmaktadır. 2025 yılında anket uygulanmış, sonuçlar analiz edilmiştir. Hemşirelik bölümü dış paydaş memnuniyet sonuçlarına göre memnuniyet düzeyi 5 üzerinden Kurumsal Tanınırlık ve İmaj 3.73±0.90 (genel %74.6), Kurumsal İşbirliği 3.59±0.87 (genel %71.8), Kurumunuzda Uygulama Yapan Öğrencilerin Yeterliliği 3.84±0.63 (genel %76.8), Kurumunuzda Çalışan Mezun Öğrencilerimizin Yeterliliği 4.15±0.70 (genel %83) ve Kurumsal İlgi Talepler 3.37±0.88 (genel %67.4) ortalamaya sahip olduğu belirlenmiştir.</w:t>
      </w:r>
    </w:p>
    <w:p w14:paraId="4CEBCFF6">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Akademik personelin memnuniyetini değerlendirmeye yönelik anket uygulanmıştır. Akademik personelin (Hemşirelik) memnuniyet oranı %76.6’dır.</w:t>
      </w:r>
    </w:p>
    <w:p w14:paraId="0D95F081">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İdari personel memnuniyeti 2025 yılında bir kez değerlendirilmiştir. Ankete tüm idari personel katılmış olup, memnuniyet oranı %70.2 olarak saptanmıştır.</w:t>
      </w:r>
    </w:p>
    <w:p w14:paraId="4C383A10">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İç ve dış paydaş geribildirimlerini almaya yönelik bölüm kalite komisyonu tarafından çeşitli anket formları geliştirilmiş ve bazıları uygulanmaya başlanmıştır. Geliştirilen anket formları komisyon kararı ile uygulanmaya başlanmıştır.</w:t>
      </w:r>
    </w:p>
    <w:p w14:paraId="53CD87A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0EDA81F7">
      <w:pPr>
        <w:pStyle w:val="21"/>
        <w:spacing w:before="0" w:beforeAutospacing="0" w:after="0" w:afterAutospacing="0" w:line="360" w:lineRule="auto"/>
        <w:jc w:val="both"/>
        <w:rPr>
          <w:color w:val="000000"/>
        </w:rPr>
      </w:pPr>
      <w:r>
        <w:rPr>
          <w:color w:val="000000"/>
        </w:rPr>
        <w:t>Fizyoterapi ve Rehabilitasyon Bölüm bünyesinde herhangi bir iç ve dış paydaş karar alma, yönetim ve iyileştirme süreçlerine katılım mekanizmaları tanımlanmamıştır. Dersler ve çeşitli toplumsal katkı sağlayacak projeler kapsamında dış paydaşlarla işbirlikleri yapılmıştır. İç paydaşlardan bazı alanlarda geri dönütler alınarak incelenmiştir</w:t>
      </w:r>
      <w:r>
        <w:fldChar w:fldCharType="begin"/>
      </w:r>
      <w:r>
        <w:instrText xml:space="preserve"> HYPERLINK "https://docs.google.com/spreadsheets/d/1rZpb_n6l6jYG_s_3YvBclyvLyHjHagkZUauimGUScdk/edit?usp=drive_link" </w:instrText>
      </w:r>
      <w:r>
        <w:fldChar w:fldCharType="separate"/>
      </w:r>
      <w:r>
        <w:rPr>
          <w:rStyle w:val="20"/>
          <w:color w:val="1155CC"/>
        </w:rPr>
        <w:t xml:space="preserve"> (OD1)</w:t>
      </w:r>
      <w:r>
        <w:rPr>
          <w:rStyle w:val="20"/>
          <w:color w:val="1155CC"/>
        </w:rPr>
        <w:fldChar w:fldCharType="end"/>
      </w:r>
      <w:r>
        <w:rPr>
          <w:rStyle w:val="20"/>
          <w:rFonts w:hint="default"/>
          <w:color w:val="1155CC"/>
          <w:lang w:val="tr-TR"/>
        </w:rPr>
        <w:t>.</w:t>
      </w:r>
      <w:r>
        <w:rPr>
          <w:color w:val="000000"/>
        </w:rPr>
        <w:t xml:space="preserve"> Bazı etkinlikler de düzenlenmiştir</w:t>
      </w:r>
      <w:r>
        <w:fldChar w:fldCharType="begin"/>
      </w:r>
      <w:r>
        <w:instrText xml:space="preserve"> HYPERLINK "https://sbfftr.ksu.edu.tr/" </w:instrText>
      </w:r>
      <w:r>
        <w:fldChar w:fldCharType="separate"/>
      </w:r>
      <w:r>
        <w:rPr>
          <w:rStyle w:val="20"/>
          <w:color w:val="1155CC"/>
        </w:rPr>
        <w:t xml:space="preserve"> (OD1)</w:t>
      </w:r>
      <w:r>
        <w:rPr>
          <w:rStyle w:val="20"/>
          <w:color w:val="1155CC"/>
        </w:rPr>
        <w:fldChar w:fldCharType="end"/>
      </w:r>
      <w:r>
        <w:rPr>
          <w:color w:val="000000"/>
        </w:rPr>
        <w:t>. Ancak bölümümüz bünyesinde henüz resmi bir iç ve dış paydaş karar alma mekanizmaları ya da protokolleri yoktur.</w:t>
      </w:r>
    </w:p>
    <w:p w14:paraId="1A1A046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73277C5E">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Bölümünde, kalite güvence sisteminin sürdürülebilirliğini sağlamak amacıyla iç ve dış paydaşların karar alma ve iyileştirme süreçlerine katılımını destekleyen çok boyutlu mekanizmalar işletilmektedir. İç paydaşların (öğrenci, akademik ve idari personel) eğitim-öğretim ve yönetim süreçlerine aktif katılımı; ders değerlendirme anketleri, memnuniyet anketleri ve öğrenci temsilcilerinin bölüm komisyonlarında (Bölüm Kurulu, Eğitim Komisyonu vb.) yer alması vb. aracılığıyla sağlanmaktadır (</w:t>
      </w:r>
      <w:r>
        <w:fldChar w:fldCharType="begin"/>
      </w:r>
      <w:r>
        <w:instrText xml:space="preserve"> HYPERLINK "https://docs.google.com/document/d/1jj2HhHWksTQ3HYUj0WpX3sTvmTbnJSfS/edit"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İç paydaş katılımını artırmak amacıyla 2025'te başlatılan 'Sessiz Kutu' uygulamasıyla, öğrencilerin dilek ve şikayet süreçleri kolaylaştırılmış ve geri bildirim mekanizması güçlendirilmiştir. Akademik personel ise Eğitim-Öğretim, Ar-Ge, Toplumsal Katkı ve Yönetişim süreçlerine, toplam 16 farklı komisyonda görev alarak doğrudan dahil olmaktadır.</w:t>
      </w:r>
    </w:p>
    <w:p w14:paraId="4CDB0EA5">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Dış paydaşların katılımı ise 'Dış Paydaş Danışma Kurulu' aracılığıyla sistematik hale getirilmiştir. 2025 yılı içerisinde gerçekleştirilen KSÜ Sağlık Uygulama ve Araştırma Hastanesi (SUAH) odaklı toplantı tutanakları ile dış paydaşların klinik uygulama süreçlerine dair görüşleri kayıt altına alınmıştır (</w:t>
      </w:r>
      <w:r>
        <w:fldChar w:fldCharType="begin"/>
      </w:r>
      <w:r>
        <w:instrText xml:space="preserve"> HYPERLINK "https://sbfebelik.ksu.edu.tr/default.aspx?DId=98979"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0ACDAA62">
      <w:pPr>
        <w:spacing w:before="280" w:after="28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Bölümümüzün kalite güvencesi sistemi kapsamında 2024 ve 2025 yıllarında gerçekleştirilen paydaş memnuniyet analizleri, eğitim-öğretim ve yönetim süreçlerinin verimliliğine dair önemli veriler sunmaktadır. Akademik personelin genel memnuniyet oranı %83,75 olarak belirlenirken (</w:t>
      </w:r>
      <w:r>
        <w:fldChar w:fldCharType="begin"/>
      </w:r>
      <w:r>
        <w:instrText xml:space="preserve"> HYPERLINK "https://sbfebelik.ksu.edu.tr/depo/belgeler/EBEL%C4%B0K%202024-2025%20YILLIK%20FAAL%C4%B0YETLER.docx_2508271131251162.pdf"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idari personelin katılımı ile gerçekleştirilen analizlerde ise %57,6 oranında bir memnuniyet düzeyi saptanmıştır (</w:t>
      </w:r>
      <w:r>
        <w:fldChar w:fldCharType="begin"/>
      </w:r>
      <w:r>
        <w:instrText xml:space="preserve"> HYPERLINK "https://sbfebelik.ksu.edu.tr/depo/belgeler/EBEL%C4%B0K%202024-2025%20YILLIK%20FAAL%C4%B0YETLER.docx_2508271131251162.pdf"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Bu veriler, bölüm içerisindeki akademik ve idari işleyişin personel nezdinde kabul gördüğünü ve kurumsal bağlılığın güçlü olduğunu kanıtlamaktadır.</w:t>
      </w:r>
    </w:p>
    <w:p w14:paraId="0F0E2E4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 dış paydaş memnuniyet sonuçlarına göre memnuniyet düzeyi 5 üzerinden Kurumsal Tanınırlık ve İmaj 3,84±0,97, Kurumsal İşbirliği 4,20±0,96 Kurumunuzda Uygulama Yapan Öğrencilerin Yeterliliği 4,04±0,58 Kurumunuzda Çalışan Mezun Öğrencilerimizin Yeterliliği 4,02±0,89 ve Kurumsal İlgi Talepler 4,24±1,13 ortalamaya sahip olduğu belirlenmiştir. Ebelik Bölümü dış paydaş memnuniyet memnuniyet sonuçlarına göre toplam memnuniyet düzeyi 5 üzerinden 4,05±0,84 ortalamaya sahiptir. </w:t>
      </w:r>
    </w:p>
    <w:p w14:paraId="2E12D208">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bölümünde İç ve dış paydaşların kalite süreçlerine katılımlarını sağlamak amacıyla çeşitli mekanizmalar işletilmektedir. İç paydaşların eğitim öğretim süreçlerine katılımlarını sağlamak amacıyla ders değerlendirme anketleri, öğrencilerin bölüm komisyonlarında temsil edilmesi gibi uygulamalar mevcuttur. Dış paydaşların katılımlarını sağlamak amacıyla yılda en az bir kez olmak üzere dış paydaş toplantıları düzenlenmektedir. İç paydaşlardan olan Akademik Personel Eğitim Öğretim, Araştırma Geliştirme ve Toplumsal Katkı, Yönetişim konularında karar alma süreçlerine katılımları komisyon görevleri yolu ile olmaktadır.</w:t>
      </w:r>
    </w:p>
    <w:p w14:paraId="23104E21">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Dış paydaş memnuniyeti Ebelik bölümünde “Dış Paydaş Memnuniyet Anketi” ile alınmaktadır. 2025 yılında anket uygulanmış, sonuçlar analiz edilmiştir. Elde edilen bulgulara göre, Ebelik Bölümü dış paydaş memnuniyet düzeyleri 5 üzerinden değerlendirildiğinde; Kurumsal Tanınırlık ve İmaj boyutunun 4.70±0.13, Kurumsal İş Birliği boyutunun 4.72±0.05, Kurumunuzda Uygulama Yapan Öğrencilerin Yeterliliği boyutunun 4.52±0.11, Kurumunuzda Çalışan Mezun Öğrencilerimizin Yeterliliği boyutunun 4.47±0.14 ve Kurumsal İlgi ve Talepler boyutunun 4.55±0.41ortalamaya sahip olduğu belirlenmiştir. Dış paydaş memnuniyet anketi sonuçlarına göre, toplam memnuniyet düzeyi 5 üzerinden 4.55±0.20olarak hesaplanmıştır.</w:t>
      </w:r>
    </w:p>
    <w:p w14:paraId="43921DEE">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Akademik personelin memnuniyetini değerlendirmeye yönelik anket uygulanmıştır. Akademik personelin (Ebelik) memnuniyet oranı %25’in üzerindedir.</w:t>
      </w:r>
    </w:p>
    <w:p w14:paraId="57931A69">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İdari personel memnuniyeti 2025 yılında bir kez değerlendirilmiştir. Ankete tüm idari personel katılmış olup, memnuniyet oranı %70.2 olarak saptanmıştır.</w:t>
      </w:r>
    </w:p>
    <w:p w14:paraId="41691E03">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İç ve dış paydaş geri bildirimlerini almaya yönelik bölüm kalite komisyonu tarafından çeşitli anket formları geliştirilmiş ve bazıları uygulanmaya başlanmıştır. Geliştirilen anket formları komisyon kararı ile uygulanmaya başlanmıştır.</w:t>
      </w:r>
    </w:p>
    <w:p w14:paraId="5DA385E9">
      <w:pPr>
        <w:spacing w:after="160"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A.4.2. Öğrenci geri bildirimleri</w:t>
      </w:r>
    </w:p>
    <w:p w14:paraId="1BB723A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A74A9B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Bölümümüzün eğitim-öğretim kalitesini ve öğrenci deneyimini sürekli iyileştirme hedefi doğrultusunda gerçekleştirilen 2025-2026 Güz Dönemi İç Paydaş Memnuniyet Anketi, 2024 yılı verileriyle karşılaştırmalı olarak analiz edilmiştir. 179 öğrencinin katılımıyla gerçekleştirilen analizler sonucunda, genel memnuniyet oranının </w:t>
      </w:r>
      <w:r>
        <w:rPr>
          <w:rFonts w:ascii="Times New Roman" w:hAnsi="Times New Roman" w:eastAsia="Times New Roman" w:cs="Times New Roman"/>
          <w:b/>
          <w:bCs/>
          <w:sz w:val="24"/>
          <w:szCs w:val="24"/>
        </w:rPr>
        <w:t>%57,2’den %65,8’e (3,29±1,34)</w:t>
      </w:r>
      <w:r>
        <w:rPr>
          <w:rFonts w:ascii="Times New Roman" w:hAnsi="Times New Roman" w:eastAsia="Times New Roman" w:cs="Times New Roman"/>
          <w:sz w:val="24"/>
          <w:szCs w:val="24"/>
        </w:rPr>
        <w:t xml:space="preserve"> yükselerek belirgin bir gelişim gösterdiği saptanmıştır. Özellikle 2024 yılında en düşük puanı alan 'Ulaşım İmkanları' maddesinin 1,85’ten 3,20’ye yükselmesi ve 'Beslenme Hizmetleri'ndeki (3,22) anlamlı artış, fakülte bünyesinde hayata geçirilen yemekhane ve ulaşım düzenlemelerinin öğrenciler nezdinde doğrudan karşılık bulduğunu kanıtlamaktadır. Ayrıca, Web Komisyonu’nun dijital platformlardaki optimizasyon çalışmaları sonucunda 'Bilgiye Erişim' memnuniyetinin 3,52 puan seviyesine ulaşması, kurumun şeffaflık ve bilgi paylaşımı konusundaki başarısını ortaya koymaktadır.</w:t>
      </w:r>
    </w:p>
    <w:p w14:paraId="03846DC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Akademik ve mesleki gelişim süreçlerine yönelik analizlerde; öğrencilerin derslerin mesleki yaşantılarına katkısına duyduğu güven </w:t>
      </w:r>
      <w:r>
        <w:rPr>
          <w:rFonts w:ascii="Times New Roman" w:hAnsi="Times New Roman" w:eastAsia="Times New Roman" w:cs="Times New Roman"/>
          <w:b/>
          <w:bCs/>
          <w:sz w:val="24"/>
          <w:szCs w:val="24"/>
        </w:rPr>
        <w:t>3,68</w:t>
      </w:r>
      <w:r>
        <w:rPr>
          <w:rFonts w:ascii="Times New Roman" w:hAnsi="Times New Roman" w:eastAsia="Times New Roman" w:cs="Times New Roman"/>
          <w:sz w:val="24"/>
          <w:szCs w:val="24"/>
        </w:rPr>
        <w:t xml:space="preserve"> puanla anketin en güçlü alanı olarak öne çıkmış, teorik ders yeterliliği (3,64) ve danışmanlık hizmetleri (3,56) bu başarıyı desteklemiştir. PUKÖ döngüsü çerçevesinde yapılan değerlendirmelerde, yönetim süreçlerine katılım algısının 2,80’den 3,32’ye yükselmesi, bölüm yönetiminin çözüm odaklı ve katılımcı yaklaşımının öğrenciler tarafından tescil edildiğini göstermektedir. Öte yandan, iyileşme göstermesine rağmen genel ortalamanın altında kalan 'Eğitim Ortamları ve Laboratuvar Yeterliliği' (2,81) ile hafif bir düşüş sergileyen 'Öğrenci İşleri Hizmetleri' (3,08), 2026 yılı stratejik planlamasında öncelikli iyileştirme alanları olarak belirlenmiştir. Bu veriler ışığında, fiziksel altyapıdaki gelişim ivmesinin laboratuvar modernizasyonu ile desteklenmesi ve idari süreçlerin öğrenci odaklı revizyonu kararlaştırılmıştır (</w:t>
      </w:r>
      <w:r>
        <w:fldChar w:fldCharType="begin"/>
      </w:r>
      <w:r>
        <w:instrText xml:space="preserve"> HYPERLINK "https://docs.google.com/document/d/1ANy538EOwAwcMtP1wzfxHc8r-qwdeRXZ/edit"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369272E3">
      <w:pPr>
        <w:spacing w:before="240" w:after="240" w:line="360" w:lineRule="auto"/>
        <w:jc w:val="both"/>
        <w:rPr>
          <w:rFonts w:ascii="Times New Roman" w:hAnsi="Times New Roman" w:eastAsia="Times New Roman" w:cs="Times New Roman"/>
          <w:sz w:val="24"/>
          <w:szCs w:val="24"/>
        </w:rPr>
      </w:pPr>
    </w:p>
    <w:p w14:paraId="7643FDFA">
      <w:pPr>
        <w:spacing w:before="240" w:after="240" w:line="360" w:lineRule="auto"/>
        <w:jc w:val="both"/>
        <w:rPr>
          <w:rFonts w:ascii="Times New Roman" w:hAnsi="Times New Roman" w:eastAsia="Times New Roman" w:cs="Times New Roman"/>
          <w:sz w:val="24"/>
          <w:szCs w:val="24"/>
        </w:rPr>
      </w:pPr>
    </w:p>
    <w:p w14:paraId="5BDF901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17E8082C">
      <w:pPr>
        <w:pStyle w:val="21"/>
        <w:spacing w:before="0" w:beforeAutospacing="0" w:after="0" w:afterAutospacing="0" w:line="360" w:lineRule="auto"/>
        <w:ind w:right="93"/>
        <w:jc w:val="both"/>
      </w:pPr>
      <w:r>
        <w:rPr>
          <w:color w:val="000000"/>
        </w:rPr>
        <w:t xml:space="preserve">Programın genelinde öğrenci geri bildirimleri (her yarıyıl ya da her akademik yıl sonunda) tüm dersler adına akademik yıl sonunda genel memnuniyet anketi yapılmaktadır </w:t>
      </w:r>
      <w:r>
        <w:fldChar w:fldCharType="begin"/>
      </w:r>
      <w:r>
        <w:instrText xml:space="preserve"> HYPERLINK "https://docs.google.com/spreadsheets/d/1Tc-ydn2fYYgH484X4NngzV1n6fX6aaN080VjMzz1Vmg/edit?usp=drive_link" </w:instrText>
      </w:r>
      <w:r>
        <w:fldChar w:fldCharType="separate"/>
      </w:r>
      <w:r>
        <w:rPr>
          <w:rStyle w:val="20"/>
          <w:color w:val="1155CC"/>
        </w:rPr>
        <w:t>(OD2)</w:t>
      </w:r>
      <w:r>
        <w:rPr>
          <w:rStyle w:val="20"/>
          <w:color w:val="1155CC"/>
        </w:rPr>
        <w:fldChar w:fldCharType="end"/>
      </w:r>
      <w:r>
        <w:rPr>
          <w:color w:val="000000"/>
        </w:rPr>
        <w:t xml:space="preserve">. </w:t>
      </w:r>
    </w:p>
    <w:p w14:paraId="6767E5CE">
      <w:pPr>
        <w:pStyle w:val="2"/>
        <w:spacing w:line="360" w:lineRule="auto"/>
        <w:rPr>
          <w:rFonts w:ascii="Times New Roman" w:hAnsi="Times New Roman" w:cs="Times New Roman"/>
          <w:color w:val="auto"/>
          <w:sz w:val="22"/>
          <w:szCs w:val="22"/>
        </w:rPr>
      </w:pPr>
    </w:p>
    <w:p w14:paraId="2AA794B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4A34B821">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Bölümümüzün eğitim-öğretim kalitesini ve öğrenci deneyimini sürekli iyileştirme hedefi doğrultusunda gerçekleştirilen 2025-2026 Güz Dönemi İç Paydaş Memnuniyet Anketi analiz edilmiştir. Öğrenci memnuniyet sonuçlarına göre memnuniyet düzeyi 5 üzerinden 3.13±0.75 ortalamaya sahip olup, genel memnuniyet düzeyi %62.7 olarak bulunmuştur. Ortalaması en düşük alanlar: 9. madde (Eğitim ortamları (derslik, laboratuvar, sosyal alanlar vb.) yeterlidir.), 2. madde (Bilimsel (kongre, panel, sempozyum, kurs vb.) sosyal, sportif ve sanat faaliyetleri katılım için verilen fırsatları yeterlidir.), 4. madde (Ulaşım imkanları yeterlidir). Ortalaması en yüksek alanlar: 13. madde (Derslerde edinilen bilgi ve beceriler bireysel ve mesleki yaşantıma fayda sağlar.), 16. madde (Danışmanım bana gerekli zamanı ayırmaktadır.), 11. madde (Programda yer alan dersler teorik açıdan yeterlidir.). Öğrenci memnuniyetinin orta düzeyde olduğu, özellikle ortalaması düşük alanlara yönelik iyileştirme çalışmalarının planlanmasının yararlı olacağı değerlendirilmektedir. Bu veriler ışığında, fiziksel altyapıdaki gelişim ivmesinin laboratuvar modernizasyonu ile desteklenmesi ve idari süreçlerin öğrenci odaklı revizyonu kararlaştırılmıştır (</w:t>
      </w:r>
      <w:r>
        <w:fldChar w:fldCharType="begin"/>
      </w:r>
      <w:r>
        <w:instrText xml:space="preserve"> HYPERLINK "https://sbfebelik.ksu.edu.tr/depo/belgeler/EBEL%C4%B0K%20B%C3%96L%C3%9CM%C3%9C%202025%20YILI%20MEMNUN%C4%B0YET%20ANKETLER%C4%B0_2601191420160764.pdf"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58EF89B6">
      <w:pPr>
        <w:spacing w:after="160"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A.4.3. Mezun ilişkileri yönetimi</w:t>
      </w:r>
    </w:p>
    <w:p w14:paraId="6E3A61C9">
      <w:pPr>
        <w:spacing w:after="160" w:line="360" w:lineRule="auto"/>
        <w:rPr>
          <w:rFonts w:hint="default" w:ascii="Times New Roman" w:hAnsi="Times New Roman" w:eastAsia="Times New Roman" w:cs="Times New Roman"/>
          <w:b w:val="0"/>
          <w:bCs w:val="0"/>
          <w:sz w:val="24"/>
          <w:szCs w:val="24"/>
          <w:lang w:val="tr-TR"/>
        </w:rPr>
      </w:pPr>
      <w:r>
        <w:rPr>
          <w:rFonts w:hint="default" w:ascii="Times New Roman" w:hAnsi="Times New Roman" w:eastAsia="Times New Roman" w:cs="Times New Roman"/>
          <w:b w:val="0"/>
          <w:bCs w:val="0"/>
          <w:sz w:val="24"/>
          <w:szCs w:val="24"/>
          <w:lang w:val="tr-TR"/>
        </w:rPr>
        <w:t>Bölüm faaliyetleri;</w:t>
      </w:r>
    </w:p>
    <w:p w14:paraId="68E1045F">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Hemşirelik</w:t>
      </w:r>
    </w:p>
    <w:p w14:paraId="104FFDA3">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2025 yılı içerisinde mezun izleme ve memnuniyet anketi Hemşirelik Bölümü sosyal medya hesaplarından paylaşılarak uygulanmıştır. Ankete toplam 153 KSÜ Hemşirelik mezunu katılmıştır. Anket formunda mezunların işe yerleşmelerine ilişkin bilgiler sorgulanmıştır. Anket formundan elde edilen sonuçlara göre mezunların %80’ninden fazlasının bir yıl içinde işe girdiği belirlenmiştir. Mezun takip sisteminde mezunların 560’ı yer almaktadır. Ancak mezun izleme anketine katılan mezunların %69.3’ü mezun portalına kayıtlı olmadığını bildirmiştir. 2024 yılı içerisinde mezun portalı üzerinden Hemşirelik mezunları ile iletişime geçilmemiştir.</w:t>
      </w:r>
    </w:p>
    <w:p w14:paraId="141F5015">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Hemşirelik bölümü Dış Paydaş Memnuniyet anketi ile mezunlardan menuniyet oranı sorgulanmıştır. Likert tipi sorgulamada (1-5 arası puanlanmıştır) memnuniyet puan ortalaması 4.15±0.70 olup, yüksek olarak izlenmiştir. Kurumunuzda Çalışan Mezun Öğrencilerimizin Yeterliliği memnuniyet düzeyi%83 olarak belirlenmiştir (</w:t>
      </w:r>
      <w:r>
        <w:fldChar w:fldCharType="begin"/>
      </w:r>
      <w:r>
        <w:instrText xml:space="preserve"> HYPERLINK "https://docs.google.com/document/d/1EKqvzzmhsCTOzFrZE_15EUUVXYCvVfI4/edit?usp=sharing&amp;ouid=117558475916650171620&amp;rtpof=true&amp;sd=true" \h </w:instrText>
      </w:r>
      <w:r>
        <w:fldChar w:fldCharType="separate"/>
      </w:r>
      <w:r>
        <w:rPr>
          <w:rStyle w:val="20"/>
          <w:rFonts w:ascii="Times New Roman" w:hAnsi="Times New Roman" w:eastAsia="Times New Roman" w:cs="Times New Roman"/>
          <w:sz w:val="24"/>
          <w:szCs w:val="24"/>
        </w:rPr>
        <w:t>OD4)</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1B71B07E">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Fizyoterapi ve Rehabilitasyon</w:t>
      </w:r>
    </w:p>
    <w:p w14:paraId="46198219">
      <w:pPr>
        <w:pStyle w:val="21"/>
        <w:spacing w:before="0" w:beforeAutospacing="0" w:after="0" w:afterAutospacing="0" w:line="360" w:lineRule="auto"/>
        <w:ind w:right="95"/>
        <w:jc w:val="both"/>
      </w:pPr>
      <w:r>
        <w:rPr>
          <w:color w:val="000000"/>
        </w:rPr>
        <w:t>Fizyoterapi ve Rehabilitasyon bölümü şuana kadar 2023-2024 ve 2024-2025 döneminde iki kez mezun vermiştir. Mezun öğrencilerle iletişimde kalınarak sözlü geri dönütler alınsa da resmi ve yazılı kaynağa dönüştürülmüş bir takip yoktur. Mezunların işe yerleşme, eğitime devam, gelir düzeyi, işveren/ mezun memnuniyeti gibi istihdam bilgileri eğitim öğretim süreçleri sonrasında mail ve mezun takip sistemi yoluyla alınması ile ilgili planlama ve uygulamalar yapılmaktadır. Şu anda bölüm arşivinde oluşturulan mezun takip anketi ile geri dönüt alınması planlanmaktadır.</w:t>
      </w:r>
      <w:r>
        <w:fldChar w:fldCharType="begin"/>
      </w:r>
      <w:r>
        <w:instrText xml:space="preserve"> HYPERLINK "https://docs.google.com/forms/d/e/1FAIpQLSe1i0aLr60yCa9IdrfWOefTWLFuSLMTF2DfY3qaEuomsFZcog/viewform?usp=publish-editor" </w:instrText>
      </w:r>
      <w:r>
        <w:fldChar w:fldCharType="separate"/>
      </w:r>
      <w:r>
        <w:rPr>
          <w:rStyle w:val="20"/>
          <w:color w:val="1155CC"/>
        </w:rPr>
        <w:t xml:space="preserve"> (OD2)</w:t>
      </w:r>
      <w:r>
        <w:rPr>
          <w:rStyle w:val="20"/>
          <w:color w:val="1155CC"/>
        </w:rPr>
        <w:fldChar w:fldCharType="end"/>
      </w:r>
    </w:p>
    <w:p w14:paraId="0606989D">
      <w:pPr>
        <w:pStyle w:val="2"/>
        <w:spacing w:line="360" w:lineRule="auto"/>
        <w:rPr>
          <w:rFonts w:ascii="Times New Roman" w:hAnsi="Times New Roman" w:cs="Times New Roman"/>
          <w:color w:val="auto"/>
          <w:sz w:val="22"/>
          <w:szCs w:val="22"/>
        </w:rPr>
      </w:pPr>
    </w:p>
    <w:p w14:paraId="738C9A00">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Ebelik</w:t>
      </w:r>
    </w:p>
    <w:p w14:paraId="7686DA03">
      <w:pPr>
        <w:spacing w:after="16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2025 yılı içerisinde mezun izleme ve memnuniyet anketi Ebelik Bölümü sosyal medya hesaplarından paylaşılarak uygulanmıştır. Ankete toplam 41 KSÜ Ebelik mezunu katılmıştır. Ebelik bölümü Dış Paydaş Memnuniyet anketi ile mezunlardan menuniyet oranı sorgulanmıştır. Likert tipi sorgulamada (1-5 arası puanlanmıştır) memnuniyet toplam puan ortalamasının 4,3 ± 1,1 olması, ebelik eğitiminin mezunları mesleki yaşama ve kişisel gelişime büyük ölçüde hazırladığını; klinik uygulamalar ve lisansüstü eğitime hazırlık boyutlarında ise bireysel deneyimlere bağlı değişkenlikler bulunabileceğini düşündürmektedir (</w:t>
      </w:r>
      <w:r>
        <w:fldChar w:fldCharType="begin"/>
      </w:r>
      <w:r>
        <w:instrText xml:space="preserve"> HYPERLINK "https://sbfebelik.ksu.edu.tr/depo/belgeler/EBEL%C4%B0K%20B%C3%96L%C3%9CM%C3%9C%202025%20YILI%20MEMNUN%C4%B0YET%20ANKETLER%C4%B0_2601191420160764.pdf"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4F6FC3CE">
      <w:pPr>
        <w:spacing w:line="360" w:lineRule="auto"/>
        <w:rPr>
          <w:rFonts w:ascii="Times New Roman" w:hAnsi="Times New Roman" w:eastAsia="Times New Roman" w:cs="Times New Roman"/>
        </w:rPr>
      </w:pPr>
      <w:r>
        <w:rPr>
          <w:rFonts w:ascii="Times New Roman" w:hAnsi="Times New Roman" w:eastAsia="Times New Roman" w:cs="Times New Roman"/>
          <w:b/>
          <w:bCs/>
        </w:rPr>
        <w:t>A.5. Uluslararasılaşma</w:t>
      </w:r>
      <w:r>
        <w:rPr>
          <w:rFonts w:ascii="Times New Roman" w:hAnsi="Times New Roman" w:eastAsia="Times New Roman" w:cs="Times New Roman"/>
        </w:rPr>
        <w:t xml:space="preserve"> </w:t>
      </w:r>
    </w:p>
    <w:p w14:paraId="343D6DE1">
      <w:pPr>
        <w:spacing w:line="360" w:lineRule="auto"/>
        <w:jc w:val="both"/>
        <w:rPr>
          <w:rFonts w:hint="default" w:ascii="Times New Roman" w:hAnsi="Times New Roman" w:eastAsia="Times New Roman" w:cs="Times New Roman"/>
          <w:sz w:val="24"/>
          <w:szCs w:val="24"/>
        </w:rPr>
      </w:pPr>
      <w:r>
        <w:rPr>
          <w:rFonts w:ascii="Times New Roman" w:hAnsi="Times New Roman" w:eastAsia="Times New Roman" w:cs="Times New Roman"/>
        </w:rPr>
        <w:t xml:space="preserve">Sağlık Bilimleri Fakültesi, uluslararasılaşma stratejisini eğitim kalitesini küresel standartlara taşıma ve öğrenci hareketliliğini teşvik etme vizyonuyla yürütmektedir. Fakülte bünyesindeki bölümlerde faaliyet gösteren Dış İlişkiler Komisyonları; Erasmus+, Farabi gibi değişim programlarının yanı sıra yabancı uyruklu ve özel öğrenci süreçlerini </w:t>
      </w:r>
      <w:r>
        <w:rPr>
          <w:rFonts w:hint="default" w:ascii="Times New Roman" w:hAnsi="Times New Roman" w:eastAsia="Times New Roman" w:cs="Times New Roman"/>
          <w:sz w:val="24"/>
          <w:szCs w:val="24"/>
        </w:rPr>
        <w:t>tanımlı iş akış şemaları doğrultusunda yönetmektedir</w:t>
      </w:r>
      <w:r>
        <w:rPr>
          <w:rFonts w:hint="default" w:ascii="Times New Roman" w:hAnsi="Times New Roman" w:eastAsia="Times New Roman" w:cs="Times New Roman"/>
          <w:sz w:val="24"/>
          <w:szCs w:val="24"/>
          <w:lang w:val="tr-TR"/>
        </w:rPr>
        <w:t>. Bu kapsamda bölüm faaliyetleri;</w:t>
      </w:r>
    </w:p>
    <w:p w14:paraId="455B7DF6">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0D3C44C5">
      <w:pPr>
        <w:pStyle w:val="53"/>
        <w:spacing w:before="234" w:line="360" w:lineRule="auto"/>
        <w:ind w:right="118"/>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Hemşirelik bölümünde Dış İlişkiler (Yabancı Uyruklu/Erasmus/Farabi ve Özel Öğrenciler) birimi bulunmakta ve görev tanımı ile iş akış şemalarına göre faaliyetlerini gerçekleştirmektedir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"https://sbfhemsirelik.ksu.edu.tr/Default.aspx?SId=32651"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r>
        <w:rPr>
          <w:rFonts w:hint="default" w:ascii="Times New Roman" w:hAnsi="Times New Roman" w:eastAsia="Times New Roman" w:cs="Times New Roman"/>
          <w:sz w:val="24"/>
          <w:szCs w:val="24"/>
        </w:rPr>
        <w:t>Birinci sınıf öğrencilerine yönelik düzenlenen oryantasyon eğitimi memnuniyet anketi sonuçları incelendiğinde, Erasmus değişim programı hakkında verilen bilgilendirme düzeyinin beklentilerin altında kaldığı tespit edilmiştir. Bu doğrultuda, öğrencilerin memnuniyetini ve bilgi düzeyini artırmak amacıyla Dış İlişkiler Komisyonu tarafından birinci sınıf öğrencilerine yönelik kapsamlı bir Erasmus bilgilendirme eğitimi gerçekleştirilmiştir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"https://drive.google.com/file/d/1NsvQeiPbgrlsyVQ3Zr1g3FU6kOTmqxEH/view" \h </w:instrText>
      </w:r>
      <w:r>
        <w:rPr>
          <w:rFonts w:hint="default" w:ascii="Times New Roman" w:hAnsi="Times New Roman" w:cs="Times New Roman"/>
          <w:sz w:val="24"/>
          <w:szCs w:val="24"/>
        </w:rPr>
        <w:fldChar w:fldCharType="separate"/>
      </w:r>
      <w:r>
        <w:rPr>
          <w:rStyle w:val="20"/>
          <w:rFonts w:hint="default" w:ascii="Times New Roman" w:hAnsi="Times New Roman" w:eastAsia="Times New Roman" w:cs="Times New Roman"/>
          <w:sz w:val="24"/>
          <w:szCs w:val="24"/>
        </w:rPr>
        <w:t>OD4)</w:t>
      </w:r>
      <w:r>
        <w:rPr>
          <w:rStyle w:val="20"/>
          <w:rFonts w:hint="default" w:ascii="Times New Roman" w:hAnsi="Times New Roman" w:eastAsia="Times New Roman" w:cs="Times New Roman"/>
          <w:sz w:val="24"/>
          <w:szCs w:val="24"/>
        </w:rPr>
        <w:fldChar w:fldCharType="end"/>
      </w:r>
      <w:r>
        <w:rPr>
          <w:rFonts w:hint="default" w:ascii="Times New Roman" w:hAnsi="Times New Roman" w:eastAsia="Times New Roman" w:cs="Times New Roman"/>
          <w:sz w:val="24"/>
          <w:szCs w:val="24"/>
        </w:rPr>
        <w:t>.</w:t>
      </w:r>
    </w:p>
    <w:p w14:paraId="0D25776E">
      <w:pPr>
        <w:pStyle w:val="2"/>
        <w:spacing w:line="360" w:lineRule="auto"/>
        <w:rPr>
          <w:rFonts w:ascii="Times New Roman" w:hAnsi="Times New Roman" w:cs="Times New Roman"/>
          <w:color w:val="auto"/>
          <w:sz w:val="22"/>
          <w:szCs w:val="22"/>
        </w:rPr>
      </w:pPr>
    </w:p>
    <w:p w14:paraId="61FC2AE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44C40DC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Sağlık Bilimleri Fakültesi bünyesinde Dış İlişkiler (Yabancı uyruklu/Erasmus/ Farabi ve Özel öğrenciler) Komisyonu bulunmaktadır (</w:t>
      </w:r>
      <w:r>
        <w:fldChar w:fldCharType="begin"/>
      </w:r>
      <w:r>
        <w:instrText xml:space="preserve"> HYPERLINK "https://erasmus.ksu.edu.tr/Default.aspx?SId=23937"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Bu kapsamda Fizyoterapi ve Rehabilitasyon bölüm bünyesinde komisyon üyesi olarak Doç. Dr. Hatice ADIGÜZEL TAT başkan ve Dr. Öğretim Üyesi Elisa ÇALIŞGAN ve Arş. Gör Abdulkadir ERTÜRK üye olarak görevlendirilmiştir (</w:t>
      </w:r>
      <w:r>
        <w:fldChar w:fldCharType="begin"/>
      </w:r>
      <w:r>
        <w:instrText xml:space="preserve"> HYPERLINK "https://saglik.ksu.edu.tr/Default.aspx?SId=31119"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Bölümümüz bünyesinde 2025 yılı itibariyle 8 üniversite (Unıwersytet Mıkolaja Kopernıka W Torunıu, Klaıpedos Unıversıtetas, Unıversıta Deglı Studı Dı Foggıa, Lucıan Blaga Unıversıty Of Sıbıu, Goce Delcev Unıversıty, Unıversıty Of Medıcıne – Pleven, Unıverzıta Sv. Cyrıla A Metoda V Trnave, Malopolska Uczelnia Panstwowa İm. Rotmistrza Witolda Pileckiego W Oswiecimiu Ve Unıversıtatea Natıonala De Educatıe Fızıca Sı Sport Dın Bucurestı) ile ikili işbirliği yapılmıştır (</w:t>
      </w:r>
      <w:r>
        <w:fldChar w:fldCharType="begin"/>
      </w:r>
      <w:r>
        <w:instrText xml:space="preserve"> HYPERLINK "https://erasmus.ksu.edu.tr/Default.aspx?SId=31328"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2186A065">
      <w:pPr>
        <w:pStyle w:val="2"/>
        <w:spacing w:line="360" w:lineRule="auto"/>
        <w:rPr>
          <w:rFonts w:ascii="Times New Roman" w:hAnsi="Times New Roman" w:cs="Times New Roman"/>
          <w:color w:val="auto"/>
          <w:sz w:val="22"/>
          <w:szCs w:val="22"/>
        </w:rPr>
      </w:pPr>
    </w:p>
    <w:p w14:paraId="2207706F">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6B49E336">
      <w:pPr>
        <w:pBdr>
          <w:top w:val="none" w:color="auto" w:sz="0" w:space="0"/>
          <w:left w:val="none" w:color="auto" w:sz="0" w:space="0"/>
          <w:bottom w:val="none" w:color="auto" w:sz="0" w:space="0"/>
          <w:right w:val="none" w:color="auto" w:sz="0" w:space="0"/>
          <w:between w:val="none" w:color="auto" w:sz="0" w:space="0"/>
        </w:pBdr>
        <w:spacing w:before="242" w:line="360" w:lineRule="auto"/>
        <w:ind w:right="107"/>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Ebelik</w:t>
      </w:r>
      <w:r>
        <w:rPr>
          <w:rFonts w:ascii="Times New Roman" w:hAnsi="Times New Roman" w:eastAsia="Times New Roman" w:cs="Times New Roman"/>
          <w:color w:val="000000"/>
          <w:sz w:val="24"/>
          <w:szCs w:val="24"/>
        </w:rPr>
        <w:t xml:space="preserve"> bölümünde Dış İlişkiler (Yabancı Uyruklu/Erasmus/Farabi ve Özel Öğrenciler) birimi bulunmakta ve görev tanımı ile iş akış şemalarına göre faaliyetlerini gerçekleştirmektedir (</w:t>
      </w:r>
      <w:r>
        <w:fldChar w:fldCharType="begin"/>
      </w:r>
      <w:r>
        <w:instrText xml:space="preserve"> HYPERLINK "https://sbfebelik.ksu.edu.tr/Default.aspx?SId=33414"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00000"/>
          <w:sz w:val="24"/>
          <w:szCs w:val="24"/>
        </w:rPr>
        <w:t>). Birinci sınıf öğrencilerine yönelik düzenlenen oryantasyon eğitimi memnuniyet anketi sonuçları incelendiğinde, Erasmus değişim programı hakkında verilen bilgilendirme düzeyinin beklentilerin altında kaldığı tespit edilmiştir. Bu doğrultuda, öğrencilerin memnuniyetini ve bilgi düzeyini artırmak amacıyla Dış İlişkiler Komisyonu tarafından birinci sınıf öğrencilerine yönelik kapsamlı bir Erasmus bilgilendirme eğitimi gerçekleştirilm</w:t>
      </w:r>
      <w:r>
        <w:rPr>
          <w:rFonts w:ascii="Times New Roman" w:hAnsi="Times New Roman" w:eastAsia="Times New Roman" w:cs="Times New Roman"/>
          <w:sz w:val="24"/>
          <w:szCs w:val="24"/>
        </w:rPr>
        <w:t>esi planlanmaktadır.</w:t>
      </w:r>
    </w:p>
    <w:p w14:paraId="1A2E5C0B">
      <w:pPr>
        <w:pStyle w:val="53"/>
        <w:spacing w:before="234"/>
        <w:rPr>
          <w:rFonts w:hint="default" w:ascii="Times New Roman" w:hAnsi="Times New Roman" w:cs="Times New Roman"/>
          <w:b/>
          <w:spacing w:val="-2"/>
          <w:sz w:val="24"/>
          <w:szCs w:val="24"/>
        </w:rPr>
      </w:pPr>
      <w:r>
        <w:rPr>
          <w:rFonts w:ascii="Times New Roman" w:hAnsi="Times New Roman" w:cs="Times New Roman"/>
          <w:b/>
        </w:rPr>
        <w:t>A</w:t>
      </w:r>
      <w:r>
        <w:rPr>
          <w:rFonts w:hint="default" w:ascii="Times New Roman" w:hAnsi="Times New Roman" w:cs="Times New Roman"/>
          <w:b/>
          <w:sz w:val="24"/>
          <w:szCs w:val="24"/>
        </w:rPr>
        <w:t>.5.2.</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Uluslararasılaşma</w:t>
      </w:r>
      <w:r>
        <w:rPr>
          <w:rFonts w:hint="default" w:ascii="Times New Roman" w:hAnsi="Times New Roman" w:cs="Times New Roman"/>
          <w:b/>
          <w:spacing w:val="-4"/>
          <w:sz w:val="24"/>
          <w:szCs w:val="24"/>
        </w:rPr>
        <w:t xml:space="preserve"> </w:t>
      </w:r>
      <w:r>
        <w:rPr>
          <w:rFonts w:hint="default" w:ascii="Times New Roman" w:hAnsi="Times New Roman" w:cs="Times New Roman"/>
          <w:b/>
          <w:spacing w:val="-2"/>
          <w:sz w:val="24"/>
          <w:szCs w:val="24"/>
        </w:rPr>
        <w:t>kaynakları</w:t>
      </w:r>
    </w:p>
    <w:p w14:paraId="5D183ABB">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157380B8">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Birimde tüm bölümlerin temsilcisinin bulunduğu Dış İlişkiler (Yabancı Uyruklu/Erasmus/Farabi ve Özel Öğrenciler) birimi bulunmakta ve birimdeki faaliyetler bölüm bazında yapılarak izlenmektedir. Bu kapsamda bölümümüzde öğrenim gören uluslararası öğrenciler ile güz ve bahar dönemi olmak üzere öğrencilerin talep ve görüşlerinin alındığı toplantı gerçekleştirildi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"https://drive.google.com/file/d/1NsvQeiPbgrlsyVQ3Zr1g3FU6kOTmqxEH/view"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OD4</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Ayrıca ekim ayında yapılan toplantıya mezun yabancı uyruklu öğrencilerimizden şu anda Hatay Mustafa Kemal Üniversitesinde Çocuk Sağlığı ve Hastalıkları Anabilim Dalında Yüksek Lisans yapan Meryem KARCUM, uzaktan erişim ile bağlanarak yüksek lisans yapma süreçleri ile ilgili öğrencilerimizi bilgilendirdi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"https://sbfhemsirelik.ksu.edu.tr/default.aspx?DId=100177" \h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59211B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E4C746E">
      <w:pPr>
        <w:pStyle w:val="53"/>
        <w:spacing w:before="234" w:line="360" w:lineRule="auto"/>
        <w:jc w:val="both"/>
        <w:rPr>
          <w:rFonts w:ascii="Times New Roman" w:hAnsi="Times New Roman" w:cs="Times New Roman"/>
          <w:bCs/>
          <w:spacing w:val="-2"/>
          <w:sz w:val="24"/>
          <w:szCs w:val="24"/>
        </w:rPr>
      </w:pPr>
      <w:r>
        <w:rPr>
          <w:rFonts w:ascii="Times New Roman" w:hAnsi="Times New Roman" w:cs="Times New Roman"/>
          <w:bCs/>
          <w:spacing w:val="-2"/>
          <w:sz w:val="24"/>
          <w:szCs w:val="24"/>
        </w:rPr>
        <w:t>Birimde tüm bölümlerin temsilcisinin bulunduğu Dış İlişkiler (Yabancı Uyruklu/Erasmus/Farabi ve Özel Öğrenciler) birimi bulunmaktadır. 2025 yılında fizyoterapi ve rehabilitasyon bölümünde öğrenci değişim programından yararlanan öğrenci bulunmamaktadır.</w:t>
      </w:r>
    </w:p>
    <w:p w14:paraId="5024E9BB">
      <w:pPr>
        <w:pStyle w:val="2"/>
        <w:spacing w:line="360" w:lineRule="auto"/>
        <w:rPr>
          <w:rFonts w:ascii="Times New Roman" w:hAnsi="Times New Roman" w:cs="Times New Roman"/>
          <w:color w:val="auto"/>
          <w:sz w:val="22"/>
          <w:szCs w:val="22"/>
        </w:rPr>
      </w:pPr>
    </w:p>
    <w:p w14:paraId="1BBF3EFB">
      <w:pPr>
        <w:pStyle w:val="2"/>
        <w:spacing w:line="360" w:lineRule="auto"/>
        <w:rPr>
          <w:rFonts w:ascii="Times New Roman" w:hAnsi="Times New Roman" w:cs="Times New Roman"/>
          <w:color w:val="auto"/>
          <w:sz w:val="22"/>
          <w:szCs w:val="22"/>
        </w:rPr>
      </w:pPr>
    </w:p>
    <w:p w14:paraId="4FBD938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3EEEC3F0">
      <w:pPr>
        <w:pBdr>
          <w:top w:val="none" w:color="auto" w:sz="0" w:space="0"/>
          <w:left w:val="none" w:color="auto" w:sz="0" w:space="0"/>
          <w:bottom w:val="none" w:color="auto" w:sz="0" w:space="0"/>
          <w:right w:val="none" w:color="auto" w:sz="0" w:space="0"/>
          <w:between w:val="none" w:color="auto" w:sz="0" w:space="0"/>
        </w:pBdr>
        <w:spacing w:before="234" w:after="240" w:line="360" w:lineRule="auto"/>
        <w:jc w:val="both"/>
        <w:rPr>
          <w:rFonts w:ascii="Times New Roman" w:hAnsi="Times New Roman" w:cs="Times New Roman"/>
          <w:b/>
          <w:spacing w:val="-2"/>
        </w:rPr>
      </w:pPr>
      <w:r>
        <w:rPr>
          <w:rFonts w:ascii="Times New Roman" w:hAnsi="Times New Roman" w:eastAsia="Times New Roman" w:cs="Times New Roman"/>
          <w:color w:val="000000"/>
          <w:sz w:val="24"/>
          <w:szCs w:val="24"/>
        </w:rPr>
        <w:t>Birimde tüm bölümlerin temsilcisinin bulunduğu Dış İlişkiler (Yabancı Uyruklu/Erasmus/Farabi ve Özel Öğrenciler) birimi bulunmakta ve birimdeki faaliyetler bölüm bazında yapılarak izlenmektedir.</w:t>
      </w:r>
    </w:p>
    <w:p w14:paraId="165E23AA">
      <w:pPr>
        <w:pStyle w:val="53"/>
        <w:rPr>
          <w:rFonts w:ascii="Times New Roman" w:hAnsi="Times New Roman" w:cs="Times New Roman"/>
          <w:b/>
          <w:bCs/>
          <w:spacing w:val="-2"/>
        </w:rPr>
      </w:pPr>
      <w:r>
        <w:rPr>
          <w:rFonts w:ascii="Times New Roman" w:hAnsi="Times New Roman" w:cs="Times New Roman"/>
          <w:b/>
          <w:bCs/>
        </w:rPr>
        <w:t>A.5.3.</w:t>
      </w:r>
      <w:r>
        <w:rPr>
          <w:rFonts w:ascii="Times New Roman" w:hAnsi="Times New Roman" w:cs="Times New Roman"/>
          <w:b/>
          <w:bCs/>
          <w:spacing w:val="-5"/>
        </w:rPr>
        <w:t xml:space="preserve"> </w:t>
      </w:r>
      <w:r>
        <w:rPr>
          <w:rFonts w:ascii="Times New Roman" w:hAnsi="Times New Roman" w:cs="Times New Roman"/>
          <w:b/>
          <w:bCs/>
        </w:rPr>
        <w:t>Uluslararasılaşma</w:t>
      </w:r>
      <w:r>
        <w:rPr>
          <w:rFonts w:ascii="Times New Roman" w:hAnsi="Times New Roman" w:cs="Times New Roman"/>
          <w:b/>
          <w:bCs/>
          <w:spacing w:val="-4"/>
        </w:rPr>
        <w:t xml:space="preserve"> </w:t>
      </w:r>
      <w:r>
        <w:rPr>
          <w:rFonts w:ascii="Times New Roman" w:hAnsi="Times New Roman" w:cs="Times New Roman"/>
          <w:b/>
          <w:bCs/>
          <w:spacing w:val="-2"/>
        </w:rPr>
        <w:t>performansı</w:t>
      </w:r>
    </w:p>
    <w:p w14:paraId="1827BE8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5DB45FF9">
      <w:pPr>
        <w:pStyle w:val="2"/>
        <w:spacing w:line="360" w:lineRule="auto"/>
        <w:rPr>
          <w:rFonts w:ascii="Times New Roman" w:hAnsi="Times New Roman" w:cs="Times New Roman"/>
          <w:color w:val="auto"/>
          <w:sz w:val="22"/>
          <w:szCs w:val="22"/>
        </w:rPr>
      </w:pPr>
      <w:r>
        <w:rPr>
          <w:rFonts w:ascii="Times New Roman" w:hAnsi="Times New Roman" w:cs="Times New Roman"/>
          <w:b w:val="0"/>
          <w:bCs w:val="0"/>
          <w:color w:val="auto"/>
          <w:sz w:val="24"/>
          <w:szCs w:val="24"/>
        </w:rPr>
        <w:t xml:space="preserve">Birimde 6 farklı üniversite ile işbirliği anlaşması bulunmaktadır. 2025 yılında hemşirelik bölümünde öğrenci değişim programından yararlanan öğrenci bulunmamaktadır. </w:t>
      </w:r>
    </w:p>
    <w:p w14:paraId="47C5877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15E29448">
      <w:pPr>
        <w:spacing w:line="360" w:lineRule="auto"/>
        <w:jc w:val="both"/>
        <w:rPr>
          <w:rFonts w:ascii="Times New Roman" w:hAnsi="Times New Roman" w:cs="Times New Roman"/>
          <w:color w:val="auto"/>
          <w:sz w:val="22"/>
          <w:szCs w:val="22"/>
        </w:rPr>
      </w:pPr>
      <w:r>
        <w:rPr>
          <w:rFonts w:ascii="Times New Roman" w:hAnsi="Times New Roman" w:cs="Times New Roman"/>
          <w:bCs/>
          <w:sz w:val="24"/>
          <w:szCs w:val="24"/>
        </w:rPr>
        <w:t xml:space="preserve">Birimde 8 farklı üniversite ile işbirliği anlaşması bulunmaktadır. 2025 yılında fizyoterapi ve rehabilitasyon bölümünde öğrenci değişim programından yararlanan öğrenci bulunmamaktadır. </w:t>
      </w:r>
    </w:p>
    <w:p w14:paraId="7FEA5D6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2191ADA">
      <w:pPr>
        <w:pStyle w:val="2"/>
        <w:spacing w:after="240" w:line="360" w:lineRule="auto"/>
        <w:rPr>
          <w:rFonts w:ascii="Times New Roman" w:hAnsi="Times New Roman" w:cs="Times New Roman"/>
          <w:b/>
        </w:rPr>
      </w:pPr>
      <w:r>
        <w:rPr>
          <w:rFonts w:ascii="Times New Roman" w:hAnsi="Times New Roman" w:cs="Times New Roman"/>
          <w:b w:val="0"/>
          <w:bCs w:val="0"/>
          <w:color w:val="000000"/>
          <w:sz w:val="24"/>
          <w:szCs w:val="24"/>
        </w:rPr>
        <w:t xml:space="preserve">Birimde 6 farklı üniversite ile işbirliği anlaşması bulunmaktadır. 2025 yılında Ebelik bölümünde öğrenci değişim programından yararlanan öğrenci bulunmamaktadır. </w:t>
      </w:r>
    </w:p>
    <w:p w14:paraId="2CF7DB67">
      <w:pPr>
        <w:pStyle w:val="2"/>
        <w:spacing w:line="360" w:lineRule="auto"/>
        <w:rPr>
          <w:rFonts w:ascii="Times New Roman" w:hAnsi="Times New Roman" w:cs="Times New Roman"/>
          <w:b w:val="0"/>
          <w:bCs w:val="0"/>
          <w:sz w:val="24"/>
          <w:szCs w:val="24"/>
        </w:rPr>
      </w:pPr>
      <w:r>
        <w:rPr>
          <w:rFonts w:ascii="Times New Roman" w:hAnsi="Times New Roman" w:cs="Times New Roman"/>
          <w:sz w:val="24"/>
          <w:szCs w:val="24"/>
        </w:rPr>
        <w:t>A. LİDERLİK, YÖNETİŞİM ve KALİTE SAĞLIK BİLİMLERİ FAKÜLTESİ OLGUNLUK DÜZEYLERİ</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2977"/>
      </w:tblGrid>
      <w:tr w14:paraId="443F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40871BA4">
            <w:pPr>
              <w:spacing w:line="360" w:lineRule="auto"/>
              <w:rPr>
                <w:rFonts w:ascii="Times New Roman" w:hAnsi="Times New Roman" w:eastAsia="Times New Roman" w:cs="Times New Roman"/>
                <w:sz w:val="24"/>
                <w:szCs w:val="24"/>
              </w:rPr>
            </w:pP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6B19A98C">
            <w:pPr>
              <w:spacing w:line="360" w:lineRule="auto"/>
            </w:pPr>
            <w:r>
              <w:rPr>
                <w:rFonts w:ascii="Times New Roman" w:hAnsi="Times New Roman" w:eastAsia="Times New Roman" w:cs="Times New Roman"/>
                <w:sz w:val="24"/>
                <w:szCs w:val="24"/>
              </w:rPr>
              <w:t xml:space="preserve"> </w:t>
            </w:r>
          </w:p>
        </w:tc>
      </w:tr>
      <w:tr w14:paraId="6D77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1883A1F0">
            <w:pPr>
              <w:spacing w:line="360" w:lineRule="auto"/>
              <w:jc w:val="center"/>
              <w:rPr>
                <w:rFonts w:ascii="Times New Roman" w:hAnsi="Times New Roman" w:eastAsia="Times New Roman" w:cs="Times New Roman"/>
                <w:b/>
                <w:bCs/>
                <w:sz w:val="24"/>
                <w:szCs w:val="24"/>
              </w:rPr>
            </w:pP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498944E5">
            <w:pPr>
              <w:spacing w:line="360" w:lineRule="auto"/>
              <w:jc w:val="center"/>
            </w:pPr>
            <w:r>
              <w:rPr>
                <w:rFonts w:ascii="Times New Roman" w:hAnsi="Times New Roman" w:eastAsia="Times New Roman" w:cs="Times New Roman"/>
                <w:b/>
                <w:bCs/>
                <w:sz w:val="24"/>
                <w:szCs w:val="24"/>
              </w:rPr>
              <w:t>Olgunluk Düzeyi</w:t>
            </w:r>
          </w:p>
        </w:tc>
      </w:tr>
      <w:tr w14:paraId="35F8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1E76D9A5">
            <w:pPr>
              <w:spacing w:line="360" w:lineRule="auto"/>
              <w:jc w:val="center"/>
            </w:pPr>
            <w:r>
              <w:rPr>
                <w:rFonts w:ascii="Times New Roman" w:hAnsi="Times New Roman" w:eastAsia="Times New Roman" w:cs="Times New Roman"/>
                <w:b/>
                <w:bCs/>
                <w:sz w:val="24"/>
                <w:szCs w:val="24"/>
              </w:rPr>
              <w:t>A.1. Liderlik ve Kalite</w:t>
            </w:r>
          </w:p>
        </w:tc>
        <w:tc>
          <w:tcPr>
            <w:tcW w:w="2977"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6148248F">
            <w:pPr>
              <w:spacing w:line="360" w:lineRule="auto"/>
              <w:jc w:val="center"/>
            </w:pPr>
          </w:p>
        </w:tc>
      </w:tr>
      <w:tr w14:paraId="33AC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55AFF2F1">
            <w:pPr>
              <w:spacing w:line="360" w:lineRule="auto"/>
            </w:pPr>
            <w:r>
              <w:rPr>
                <w:rFonts w:ascii="Times New Roman" w:hAnsi="Times New Roman" w:eastAsia="Times New Roman" w:cs="Times New Roman"/>
                <w:sz w:val="24"/>
                <w:szCs w:val="24"/>
              </w:rPr>
              <w:t>A.1.1. Yönetişim modeli ve idari yapı</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1DEAF420">
            <w:pPr>
              <w:spacing w:line="360" w:lineRule="auto"/>
              <w:jc w:val="center"/>
              <w:rPr>
                <w:highlight w:val="none"/>
              </w:rPr>
            </w:pPr>
            <w:r>
              <w:rPr>
                <w:highlight w:val="none"/>
              </w:rPr>
              <w:t>4</w:t>
            </w:r>
          </w:p>
        </w:tc>
      </w:tr>
      <w:tr w14:paraId="0F45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504FE11A">
            <w:pPr>
              <w:spacing w:line="360" w:lineRule="auto"/>
            </w:pPr>
            <w:r>
              <w:rPr>
                <w:rFonts w:ascii="Times New Roman" w:hAnsi="Times New Roman" w:eastAsia="Times New Roman" w:cs="Times New Roman"/>
                <w:sz w:val="24"/>
                <w:szCs w:val="24"/>
              </w:rPr>
              <w:t>A.1.2. Liderlik</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04A96FF6">
            <w:pPr>
              <w:spacing w:line="360" w:lineRule="auto"/>
              <w:jc w:val="center"/>
              <w:rPr>
                <w:highlight w:val="none"/>
              </w:rPr>
            </w:pPr>
            <w:r>
              <w:rPr>
                <w:highlight w:val="none"/>
              </w:rPr>
              <w:t>4</w:t>
            </w:r>
          </w:p>
        </w:tc>
      </w:tr>
      <w:tr w14:paraId="4D04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52175E1B">
            <w:pPr>
              <w:spacing w:line="360" w:lineRule="auto"/>
            </w:pPr>
            <w:r>
              <w:rPr>
                <w:rFonts w:ascii="Times New Roman" w:hAnsi="Times New Roman" w:eastAsia="Times New Roman" w:cs="Times New Roman"/>
                <w:sz w:val="24"/>
                <w:szCs w:val="24"/>
              </w:rPr>
              <w:t>A.1.3. Kurumsal dönüşüm kapasitesi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36479B0C">
            <w:pPr>
              <w:spacing w:line="360" w:lineRule="auto"/>
              <w:jc w:val="center"/>
              <w:rPr>
                <w:highlight w:val="none"/>
              </w:rPr>
            </w:pPr>
            <w:r>
              <w:rPr>
                <w:highlight w:val="none"/>
              </w:rPr>
              <w:t>3</w:t>
            </w:r>
          </w:p>
        </w:tc>
      </w:tr>
      <w:tr w14:paraId="688A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51AC0B84">
            <w:pPr>
              <w:spacing w:line="360" w:lineRule="auto"/>
              <w:jc w:val="both"/>
            </w:pPr>
            <w:r>
              <w:rPr>
                <w:rFonts w:ascii="Times New Roman" w:hAnsi="Times New Roman" w:eastAsia="Times New Roman" w:cs="Times New Roman"/>
                <w:sz w:val="24"/>
                <w:szCs w:val="24"/>
              </w:rPr>
              <w:t>A.1.4. İç kalite güvencesi mekanizmaları</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2E08C212">
            <w:pPr>
              <w:spacing w:line="360" w:lineRule="auto"/>
              <w:jc w:val="center"/>
              <w:rPr>
                <w:highlight w:val="none"/>
              </w:rPr>
            </w:pPr>
            <w:r>
              <w:rPr>
                <w:highlight w:val="none"/>
              </w:rPr>
              <w:t>4</w:t>
            </w:r>
          </w:p>
        </w:tc>
      </w:tr>
      <w:tr w14:paraId="1985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39424BEB">
            <w:pPr>
              <w:tabs>
                <w:tab w:val="center" w:pos="2792"/>
              </w:tabs>
              <w:spacing w:line="360" w:lineRule="auto"/>
            </w:pPr>
            <w:r>
              <w:rPr>
                <w:rFonts w:ascii="Times New Roman" w:hAnsi="Times New Roman" w:eastAsia="Times New Roman" w:cs="Times New Roman"/>
                <w:b/>
                <w:bCs/>
                <w:sz w:val="24"/>
                <w:szCs w:val="24"/>
              </w:rPr>
              <w:t>A.2. Misyon ve Stratejik Amaçlar</w:t>
            </w:r>
          </w:p>
        </w:tc>
        <w:tc>
          <w:tcPr>
            <w:tcW w:w="2977"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1F4FD3AD">
            <w:pPr>
              <w:spacing w:line="360" w:lineRule="auto"/>
              <w:jc w:val="center"/>
              <w:rPr>
                <w:highlight w:val="none"/>
              </w:rPr>
            </w:pPr>
          </w:p>
        </w:tc>
      </w:tr>
      <w:tr w14:paraId="19BC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4B4DB370">
            <w:pPr>
              <w:spacing w:line="360" w:lineRule="auto"/>
            </w:pPr>
            <w:r>
              <w:rPr>
                <w:rFonts w:ascii="Times New Roman" w:hAnsi="Times New Roman" w:eastAsia="Times New Roman" w:cs="Times New Roman"/>
                <w:sz w:val="24"/>
                <w:szCs w:val="24"/>
              </w:rPr>
              <w:t xml:space="preserve">A.2.1. Misyon, vizyon ve politikalar </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1A172BB8">
            <w:pPr>
              <w:spacing w:line="360" w:lineRule="auto"/>
              <w:jc w:val="center"/>
              <w:rPr>
                <w:highlight w:val="none"/>
              </w:rPr>
            </w:pPr>
            <w:r>
              <w:rPr>
                <w:highlight w:val="none"/>
              </w:rPr>
              <w:t>4</w:t>
            </w:r>
          </w:p>
        </w:tc>
      </w:tr>
      <w:tr w14:paraId="4B11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2F982A75">
            <w:pPr>
              <w:spacing w:line="360" w:lineRule="auto"/>
              <w:jc w:val="both"/>
            </w:pPr>
            <w:r>
              <w:rPr>
                <w:rFonts w:ascii="Times New Roman" w:hAnsi="Times New Roman" w:eastAsia="Times New Roman" w:cs="Times New Roman"/>
                <w:sz w:val="24"/>
                <w:szCs w:val="24"/>
              </w:rPr>
              <w:t>A.2.2. Stratejik amaç ve hedefler</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3C053862">
            <w:pPr>
              <w:spacing w:line="360" w:lineRule="auto"/>
              <w:jc w:val="center"/>
              <w:rPr>
                <w:highlight w:val="none"/>
              </w:rPr>
            </w:pPr>
            <w:r>
              <w:rPr>
                <w:highlight w:val="none"/>
              </w:rPr>
              <w:t>4</w:t>
            </w:r>
          </w:p>
        </w:tc>
      </w:tr>
      <w:tr w14:paraId="62F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7464BF0C">
            <w:pPr>
              <w:spacing w:line="360" w:lineRule="auto"/>
            </w:pPr>
            <w:r>
              <w:rPr>
                <w:rFonts w:ascii="Times New Roman" w:hAnsi="Times New Roman" w:eastAsia="Times New Roman" w:cs="Times New Roman"/>
                <w:sz w:val="24"/>
                <w:szCs w:val="24"/>
              </w:rPr>
              <w:t>A.2.3. Performans yönetimi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7B2647DC">
            <w:pPr>
              <w:spacing w:line="360" w:lineRule="auto"/>
              <w:jc w:val="center"/>
              <w:rPr>
                <w:highlight w:val="none"/>
              </w:rPr>
            </w:pPr>
            <w:r>
              <w:rPr>
                <w:highlight w:val="none"/>
              </w:rPr>
              <w:t>4</w:t>
            </w:r>
          </w:p>
        </w:tc>
      </w:tr>
      <w:tr w14:paraId="7FBD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4938DA3F">
            <w:pPr>
              <w:tabs>
                <w:tab w:val="left" w:pos="1501"/>
              </w:tabs>
              <w:spacing w:line="360" w:lineRule="auto"/>
              <w:jc w:val="both"/>
            </w:pPr>
            <w:r>
              <w:rPr>
                <w:rFonts w:ascii="Times New Roman" w:hAnsi="Times New Roman" w:eastAsia="Times New Roman" w:cs="Times New Roman"/>
                <w:b/>
                <w:bCs/>
                <w:sz w:val="24"/>
                <w:szCs w:val="24"/>
              </w:rPr>
              <w:t>A.3. Yönetim Sistemleri</w:t>
            </w:r>
          </w:p>
        </w:tc>
        <w:tc>
          <w:tcPr>
            <w:tcW w:w="2977"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1A75F2BD">
            <w:pPr>
              <w:spacing w:line="360" w:lineRule="auto"/>
              <w:jc w:val="center"/>
              <w:rPr>
                <w:highlight w:val="none"/>
              </w:rPr>
            </w:pPr>
          </w:p>
        </w:tc>
      </w:tr>
      <w:tr w14:paraId="1995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294273AF">
            <w:pPr>
              <w:tabs>
                <w:tab w:val="left" w:pos="1501"/>
              </w:tabs>
              <w:spacing w:line="360" w:lineRule="auto"/>
              <w:jc w:val="both"/>
            </w:pPr>
            <w:r>
              <w:rPr>
                <w:rFonts w:ascii="Times New Roman" w:hAnsi="Times New Roman" w:eastAsia="Times New Roman" w:cs="Times New Roman"/>
                <w:sz w:val="24"/>
                <w:szCs w:val="24"/>
              </w:rPr>
              <w:t>A.3.1. Bilgi yönetim sistemi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050238E0">
            <w:pPr>
              <w:spacing w:line="360" w:lineRule="auto"/>
              <w:jc w:val="center"/>
              <w:rPr>
                <w:highlight w:val="none"/>
              </w:rPr>
            </w:pPr>
            <w:r>
              <w:rPr>
                <w:highlight w:val="none"/>
              </w:rPr>
              <w:t>3</w:t>
            </w:r>
          </w:p>
        </w:tc>
      </w:tr>
      <w:tr w14:paraId="1E5D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632C167B">
            <w:pPr>
              <w:tabs>
                <w:tab w:val="left" w:pos="1501"/>
              </w:tabs>
              <w:spacing w:line="360" w:lineRule="auto"/>
              <w:jc w:val="both"/>
            </w:pPr>
            <w:r>
              <w:rPr>
                <w:rFonts w:ascii="Times New Roman" w:hAnsi="Times New Roman" w:eastAsia="Times New Roman" w:cs="Times New Roman"/>
                <w:sz w:val="24"/>
                <w:szCs w:val="24"/>
              </w:rPr>
              <w:t>A.3.2. İnsan kaynakları yönetimi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4CC6CC54">
            <w:pPr>
              <w:spacing w:line="360" w:lineRule="auto"/>
              <w:jc w:val="center"/>
              <w:rPr>
                <w:highlight w:val="none"/>
              </w:rPr>
            </w:pPr>
            <w:r>
              <w:rPr>
                <w:highlight w:val="none"/>
              </w:rPr>
              <w:t>3</w:t>
            </w:r>
          </w:p>
        </w:tc>
      </w:tr>
      <w:tr w14:paraId="09A2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0776C06F">
            <w:pPr>
              <w:tabs>
                <w:tab w:val="left" w:pos="1501"/>
              </w:tabs>
              <w:spacing w:line="360" w:lineRule="auto"/>
              <w:jc w:val="both"/>
            </w:pPr>
            <w:r>
              <w:rPr>
                <w:rFonts w:ascii="Times New Roman" w:hAnsi="Times New Roman" w:eastAsia="Times New Roman" w:cs="Times New Roman"/>
                <w:sz w:val="24"/>
                <w:szCs w:val="24"/>
              </w:rPr>
              <w:t>A.3.3. Finansal yönetim</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5E462A59">
            <w:pPr>
              <w:spacing w:line="360" w:lineRule="auto"/>
              <w:jc w:val="center"/>
              <w:rPr>
                <w:highlight w:val="none"/>
              </w:rPr>
            </w:pPr>
            <w:r>
              <w:rPr>
                <w:highlight w:val="none"/>
              </w:rPr>
              <w:t>3</w:t>
            </w:r>
          </w:p>
        </w:tc>
      </w:tr>
      <w:tr w14:paraId="722F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64EE800E">
            <w:pPr>
              <w:tabs>
                <w:tab w:val="left" w:pos="1501"/>
              </w:tabs>
              <w:spacing w:line="360" w:lineRule="auto"/>
              <w:jc w:val="both"/>
            </w:pPr>
            <w:r>
              <w:rPr>
                <w:rFonts w:ascii="Times New Roman" w:hAnsi="Times New Roman" w:eastAsia="Times New Roman" w:cs="Times New Roman"/>
                <w:sz w:val="24"/>
                <w:szCs w:val="24"/>
              </w:rPr>
              <w:t>A.3.4. Süreç yönetimi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6DA44315">
            <w:pPr>
              <w:spacing w:line="360" w:lineRule="auto"/>
              <w:jc w:val="center"/>
              <w:rPr>
                <w:highlight w:val="none"/>
              </w:rPr>
            </w:pPr>
            <w:r>
              <w:rPr>
                <w:highlight w:val="none"/>
              </w:rPr>
              <w:t>4</w:t>
            </w:r>
          </w:p>
        </w:tc>
      </w:tr>
      <w:tr w14:paraId="727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1C979A1F">
            <w:pPr>
              <w:spacing w:line="360" w:lineRule="auto"/>
            </w:pPr>
            <w:r>
              <w:rPr>
                <w:rFonts w:ascii="Times New Roman" w:hAnsi="Times New Roman" w:eastAsia="Times New Roman" w:cs="Times New Roman"/>
                <w:b/>
                <w:bCs/>
                <w:sz w:val="24"/>
                <w:szCs w:val="24"/>
              </w:rPr>
              <w:t>A.4. Paydaş Katılımı</w:t>
            </w:r>
          </w:p>
        </w:tc>
        <w:tc>
          <w:tcPr>
            <w:tcW w:w="2977"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628CFE16">
            <w:pPr>
              <w:spacing w:line="360" w:lineRule="auto"/>
              <w:jc w:val="center"/>
              <w:rPr>
                <w:highlight w:val="none"/>
              </w:rPr>
            </w:pPr>
          </w:p>
        </w:tc>
      </w:tr>
      <w:tr w14:paraId="24B6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6BC1BF38">
            <w:pPr>
              <w:spacing w:line="360" w:lineRule="auto"/>
            </w:pPr>
            <w:r>
              <w:rPr>
                <w:rFonts w:ascii="Times New Roman" w:hAnsi="Times New Roman" w:eastAsia="Times New Roman" w:cs="Times New Roman"/>
                <w:sz w:val="24"/>
                <w:szCs w:val="24"/>
              </w:rPr>
              <w:t>A.4.1. İç ve dış paydaş katılımı</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250DD048">
            <w:pPr>
              <w:spacing w:line="360" w:lineRule="auto"/>
              <w:jc w:val="center"/>
              <w:rPr>
                <w:highlight w:val="none"/>
              </w:rPr>
            </w:pPr>
            <w:r>
              <w:rPr>
                <w:highlight w:val="none"/>
              </w:rPr>
              <w:t>4</w:t>
            </w:r>
          </w:p>
        </w:tc>
      </w:tr>
      <w:tr w14:paraId="5638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2FC0E2F1">
            <w:pPr>
              <w:spacing w:line="360" w:lineRule="auto"/>
            </w:pPr>
            <w:r>
              <w:rPr>
                <w:rFonts w:ascii="Times New Roman" w:hAnsi="Times New Roman" w:eastAsia="Times New Roman" w:cs="Times New Roman"/>
                <w:sz w:val="24"/>
                <w:szCs w:val="24"/>
              </w:rPr>
              <w:t>A.4.2. Öğrenci geri bildirimleri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65D12D01">
            <w:pPr>
              <w:spacing w:line="360" w:lineRule="auto"/>
              <w:jc w:val="center"/>
              <w:rPr>
                <w:highlight w:val="none"/>
              </w:rPr>
            </w:pPr>
            <w:r>
              <w:rPr>
                <w:highlight w:val="none"/>
              </w:rPr>
              <w:t>4</w:t>
            </w:r>
          </w:p>
        </w:tc>
      </w:tr>
      <w:tr w14:paraId="376A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71649426">
            <w:pPr>
              <w:spacing w:line="360" w:lineRule="auto"/>
            </w:pPr>
            <w:r>
              <w:rPr>
                <w:rFonts w:ascii="Times New Roman" w:hAnsi="Times New Roman" w:eastAsia="Times New Roman" w:cs="Times New Roman"/>
                <w:sz w:val="24"/>
                <w:szCs w:val="24"/>
              </w:rPr>
              <w:t>A.4.3. Mezun ilişkileri yönetimi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39139C15">
            <w:pPr>
              <w:spacing w:line="360" w:lineRule="auto"/>
              <w:jc w:val="center"/>
              <w:rPr>
                <w:highlight w:val="none"/>
              </w:rPr>
            </w:pPr>
            <w:r>
              <w:rPr>
                <w:highlight w:val="none"/>
              </w:rPr>
              <w:t>4</w:t>
            </w:r>
          </w:p>
        </w:tc>
      </w:tr>
      <w:tr w14:paraId="4259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542F3383">
            <w:pPr>
              <w:spacing w:line="360" w:lineRule="auto"/>
            </w:pPr>
            <w:r>
              <w:rPr>
                <w:rFonts w:ascii="Times New Roman" w:hAnsi="Times New Roman" w:eastAsia="Times New Roman" w:cs="Times New Roman"/>
                <w:b/>
                <w:bCs/>
                <w:sz w:val="24"/>
                <w:szCs w:val="24"/>
              </w:rPr>
              <w:t>A.5. Uluslararasılaşma</w:t>
            </w:r>
          </w:p>
        </w:tc>
        <w:tc>
          <w:tcPr>
            <w:tcW w:w="2977" w:type="dxa"/>
            <w:tcBorders>
              <w:top w:val="single" w:color="auto" w:sz="4" w:space="0"/>
              <w:left w:val="single" w:color="auto" w:sz="4" w:space="0"/>
              <w:bottom w:val="single" w:color="auto" w:sz="4" w:space="0"/>
              <w:right w:val="single" w:color="auto" w:sz="4" w:space="0"/>
            </w:tcBorders>
            <w:shd w:val="clear" w:color="auto" w:fill="FF6699"/>
            <w:tcMar>
              <w:left w:w="108" w:type="dxa"/>
              <w:right w:w="108" w:type="dxa"/>
            </w:tcMar>
          </w:tcPr>
          <w:p w14:paraId="28661FA9">
            <w:pPr>
              <w:spacing w:line="360" w:lineRule="auto"/>
              <w:jc w:val="center"/>
              <w:rPr>
                <w:highlight w:val="none"/>
              </w:rPr>
            </w:pPr>
          </w:p>
        </w:tc>
      </w:tr>
      <w:tr w14:paraId="5129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400A5E01">
            <w:pPr>
              <w:spacing w:line="360" w:lineRule="auto"/>
            </w:pPr>
            <w:r>
              <w:rPr>
                <w:rFonts w:ascii="Times New Roman" w:hAnsi="Times New Roman" w:eastAsia="Times New Roman" w:cs="Times New Roman"/>
                <w:sz w:val="24"/>
                <w:szCs w:val="24"/>
              </w:rPr>
              <w:t>A.5.1. Uluslararasılaşma süreçlerinin yönetimi</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01B95ABA">
            <w:pPr>
              <w:spacing w:line="360" w:lineRule="auto"/>
              <w:jc w:val="center"/>
              <w:rPr>
                <w:highlight w:val="none"/>
              </w:rPr>
            </w:pPr>
            <w:r>
              <w:rPr>
                <w:highlight w:val="none"/>
              </w:rPr>
              <w:t>3</w:t>
            </w:r>
          </w:p>
        </w:tc>
      </w:tr>
      <w:tr w14:paraId="4FE2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2A121397">
            <w:pPr>
              <w:spacing w:line="360" w:lineRule="auto"/>
            </w:pPr>
            <w:r>
              <w:rPr>
                <w:rFonts w:ascii="Times New Roman" w:hAnsi="Times New Roman" w:eastAsia="Times New Roman" w:cs="Times New Roman"/>
                <w:sz w:val="24"/>
                <w:szCs w:val="24"/>
              </w:rPr>
              <w:t>A.5.2. Uluslararasılaşma kaynakları</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200CCF0A">
            <w:pPr>
              <w:spacing w:line="360" w:lineRule="auto"/>
              <w:jc w:val="center"/>
              <w:rPr>
                <w:highlight w:val="none"/>
              </w:rPr>
            </w:pPr>
            <w:r>
              <w:rPr>
                <w:highlight w:val="none"/>
              </w:rPr>
              <w:t>3</w:t>
            </w:r>
          </w:p>
        </w:tc>
      </w:tr>
      <w:tr w14:paraId="76E3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65" w:type="dxa"/>
            <w:tcBorders>
              <w:top w:val="single" w:color="auto" w:sz="4" w:space="0"/>
              <w:left w:val="single" w:color="auto" w:sz="4" w:space="0"/>
              <w:bottom w:val="single" w:color="auto" w:sz="4" w:space="0"/>
              <w:right w:val="single" w:color="auto" w:sz="4" w:space="0"/>
            </w:tcBorders>
            <w:tcMar>
              <w:left w:w="108" w:type="dxa"/>
              <w:right w:w="108" w:type="dxa"/>
            </w:tcMar>
          </w:tcPr>
          <w:p w14:paraId="070A857D">
            <w:pPr>
              <w:spacing w:line="360" w:lineRule="auto"/>
            </w:pPr>
            <w:r>
              <w:rPr>
                <w:rFonts w:ascii="Times New Roman" w:hAnsi="Times New Roman" w:eastAsia="Times New Roman" w:cs="Times New Roman"/>
                <w:sz w:val="24"/>
                <w:szCs w:val="24"/>
              </w:rPr>
              <w:t>A.5.3. Uluslararasılaşma performansı</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14:paraId="7C060FB7">
            <w:pPr>
              <w:spacing w:line="360" w:lineRule="auto"/>
              <w:jc w:val="center"/>
              <w:rPr>
                <w:highlight w:val="none"/>
              </w:rPr>
            </w:pPr>
            <w:r>
              <w:rPr>
                <w:highlight w:val="none"/>
              </w:rPr>
              <w:t>3</w:t>
            </w:r>
          </w:p>
        </w:tc>
      </w:tr>
    </w:tbl>
    <w:p w14:paraId="51F50F5A">
      <w:pPr>
        <w:pStyle w:val="2"/>
        <w:spacing w:line="360" w:lineRule="auto"/>
        <w:rPr>
          <w:rFonts w:ascii="Times New Roman" w:hAnsi="Times New Roman" w:cs="Times New Roman"/>
          <w:sz w:val="22"/>
          <w:szCs w:val="22"/>
        </w:rPr>
      </w:pPr>
    </w:p>
    <w:p w14:paraId="55CABAF0">
      <w:pPr>
        <w:pStyle w:val="3"/>
        <w:spacing w:line="360" w:lineRule="auto"/>
        <w:rPr>
          <w:rFonts w:ascii="Times New Roman" w:hAnsi="Times New Roman" w:eastAsia="Times New Roman" w:cs="Times New Roman"/>
          <w:color w:val="FF0000"/>
          <w:sz w:val="28"/>
          <w:szCs w:val="24"/>
        </w:rPr>
      </w:pPr>
      <w:r>
        <w:rPr>
          <w:rFonts w:ascii="Times New Roman" w:hAnsi="Times New Roman" w:eastAsia="Times New Roman" w:cs="Times New Roman"/>
          <w:color w:val="FF0000"/>
          <w:sz w:val="28"/>
          <w:szCs w:val="24"/>
        </w:rPr>
        <w:t>B. EĞİTİM ve ÖĞRETİM</w:t>
      </w:r>
    </w:p>
    <w:p w14:paraId="2E02C259">
      <w:pPr>
        <w:pStyle w:val="3"/>
        <w:spacing w:line="360" w:lineRule="auto"/>
        <w:rPr>
          <w:rFonts w:ascii="Times New Roman" w:hAnsi="Times New Roman" w:eastAsia="Times New Roman" w:cs="Times New Roman"/>
          <w:szCs w:val="24"/>
        </w:rPr>
      </w:pPr>
      <w:r>
        <w:rPr>
          <w:rFonts w:ascii="Times New Roman" w:hAnsi="Times New Roman" w:eastAsia="Times New Roman" w:cs="Times New Roman"/>
          <w:szCs w:val="24"/>
        </w:rPr>
        <w:t>B.1. Program Tasarımı, Değerlendirmesi ve Güncellenmesi</w:t>
      </w:r>
    </w:p>
    <w:p w14:paraId="7C3A42FF">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C64D0DA">
      <w:pPr>
        <w:spacing w:line="360" w:lineRule="auto"/>
        <w:jc w:val="both"/>
      </w:pPr>
      <w:r>
        <w:rPr>
          <w:rFonts w:ascii="Times New Roman" w:hAnsi="Times New Roman" w:eastAsia="Times New Roman" w:cs="Times New Roman"/>
          <w:sz w:val="24"/>
          <w:szCs w:val="24"/>
        </w:rPr>
        <w:t xml:space="preserve">KSÜ Sağlık Bilimleri Fakültesi Hemşirelik Bölümü lisans programı; Yükseköğretim Kurulu (YÖK) düzenlemeleri, Türkiye Yükseköğretim Yeterlilikler Çerçevesi (TYYÇ), ulusal çekirdek hemşirelik eğitim programları ve hemşirelik mesleğinin güncel gereksinimleri doğrultusunda yapılandırılmıştır </w:t>
      </w:r>
      <w:r>
        <w:fldChar w:fldCharType="begin"/>
      </w:r>
      <w:r>
        <w:instrText xml:space="preserve"> HYPERLINK "https://sbfhemsirelik.ksu.edu.tr/depo/belgeler/E%C4%9Fitim%20Kitap%C3%A7%C4%B1%C4%9F%C4%B1-2025_2502051542042719.pdf"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Bölüm, 15.01.2025 tarihinde HEPDAK Akreditasyon başvurusunda bulunmuş olup, HEPDAK tarafından yapılan değerlendirme sonucunda uygulama saatlerinin artırılmasına yönelik müfredat güncellemesi yapılmasının uygun olacağı yönünde karar verilmiştir </w:t>
      </w:r>
      <w:r>
        <w:fldChar w:fldCharType="begin"/>
      </w:r>
      <w:r>
        <w:instrText xml:space="preserve"> HYPERLINK "https://drive.google.com/file/d/1_PzOU2wx6gZiRHsOSY4-HoAerwO1LAXJ/view?usp=sharing"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Hemşirelik bölüm müfredatına yönelik gerekli revizyonlar yönünden veriler toplanmakta ve ilgili kurullarda gözden geçirilmektedir. Mevcut durumda yürütülen Hemşirelik Bölüm Kurulu'nun 11.03.2025 tarihli 401234 sayılı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KSÜ Senatosu’nun 24.07.2025 tarihli 438297 sayılı kararı ile 2025 yılında revize edilmiştir </w:t>
      </w:r>
      <w:r>
        <w:fldChar w:fldCharType="begin"/>
      </w:r>
      <w:r>
        <w:instrText xml:space="preserve"> HYPERLINK "https://drive.google.com/file/d/1QmOpPDKN8vDFvjdVVq4-kt_E_mw-fzLe/view?usp=sharing"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Bu süreçte iç ve dış paydaşlardan görüş alındı </w:t>
      </w:r>
      <w:r>
        <w:fldChar w:fldCharType="begin"/>
      </w:r>
      <w:r>
        <w:instrText xml:space="preserve"> HYPERLINK "https://drive.google.com/file/d/1DNlRvKJQF2Op2bgTuJjmbw2einbCOxqx/view?usp=sharing"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"https://drive.google.com/file/d/1VIAzBqTETQ1ZFCslJvZmvhbasqC5a6Sd/view?usp=sharing" \h </w:instrText>
      </w:r>
      <w:r>
        <w:fldChar w:fldCharType="separate"/>
      </w:r>
      <w:r>
        <w:rPr>
          <w:rStyle w:val="20"/>
          <w:rFonts w:ascii="Times New Roman" w:hAnsi="Times New Roman" w:eastAsia="Times New Roman" w:cs="Times New Roman"/>
          <w:color w:val="0563C1"/>
          <w:sz w:val="24"/>
          <w:szCs w:val="24"/>
        </w:rPr>
        <w:t xml:space="preserve">[OD3] </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"https://drive.google.com/file/d/17QnVcYLD7Tzjf7b0Rdox4MOwMzCNyN89/view?usp=sharing"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"https://drive.google.com/file/d/1s0pdUg60oPPDrbcheFYummRnb-Rs5Vp6/view?usp=sharing"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"https://drive.google.com/file/d/1uSSqlmjoSkDEU_Kn1jhEYsbDDYCk_CIH/view?usp=sharing"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w:t>
      </w:r>
    </w:p>
    <w:p w14:paraId="42AD4151">
      <w:pPr>
        <w:spacing w:line="360" w:lineRule="auto"/>
        <w:jc w:val="both"/>
      </w:pPr>
      <w:r>
        <w:rPr>
          <w:rFonts w:ascii="Times New Roman" w:hAnsi="Times New Roman" w:eastAsia="Times New Roman" w:cs="Times New Roman"/>
          <w:b/>
          <w:bCs/>
          <w:i/>
          <w:iCs/>
          <w:sz w:val="24"/>
          <w:szCs w:val="24"/>
        </w:rPr>
        <w:t>Programın amaçları</w:t>
      </w:r>
      <w:r>
        <w:rPr>
          <w:rFonts w:ascii="Times New Roman" w:hAnsi="Times New Roman" w:eastAsia="Times New Roman" w:cs="Times New Roman"/>
          <w:sz w:val="24"/>
          <w:szCs w:val="24"/>
        </w:rPr>
        <w:t xml:space="preserve"> belirlenirken; üniversitenin ve Hemşirelik Fakültesinin Misyon ve Vizyonu, Yüksek Öğrenim Kurumu Ulusal Yeterlilik Çerçevesi-6, Yüksek Öğrenim Kurumu Sağlık Temel Alanı Akademik/Mesleki Yeterlilikleri, Hemşirelik Kanunu ve Hemşirelik Yönetmeliği, Hemşirelik Ulusal Çekirdek Eğitim Programının (HUÇEP) Ulusal Yeterlilikleri, Uluslararası Hemşireler Birliği Hemşireler İçin Etik Kodları temel alınmaktadır </w:t>
      </w:r>
      <w:r>
        <w:fldChar w:fldCharType="begin"/>
      </w:r>
      <w:r>
        <w:instrText xml:space="preserve"> HYPERLINK "https://sbfhemsirelik.ksu.edu.tr/depo/belgeler/Program%20Ama%C3%A7lar%C4%B1_2506041100016193.pdf"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Programın temel amacı; etik değerlere bağlı, eleştirel düşünebilen, kanıta dayalı uygulamaları benimseyen, birey–aile–toplum sağlığını bütüncül bir yaklaşımla ele alabilen yetkin hemşireler yetiştirmektir. Program tasarımı, bu amaç doğrultusunda bilgi, beceri ve tutum alanlarını kapsayacak şekilde planlanmıştır </w:t>
      </w:r>
      <w:r>
        <w:fldChar w:fldCharType="begin"/>
      </w:r>
      <w:r>
        <w:instrText xml:space="preserve"> HYPERLINK "https://sbfhemsirelik.ksu.edu.tr/depo/belgeler/Program%20Ama%C3%A7lar%C4%B1_2506041100016193.pdf"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Program amaçları periyodu olan 4 yıllık periyotlarda, gözden geçirilmesi ve gerekirse güncellenmesi planlanmıştır </w:t>
      </w:r>
      <w:r>
        <w:fldChar w:fldCharType="begin"/>
      </w:r>
      <w:r>
        <w:instrText xml:space="preserve"> HYPERLINK "https://ksuedutr-my.sharepoint.com/personal/hemsireliksbf_ksu_edu_tr/_layouts/15/onedrive.aspx?id=%2Fpersonal%2Fhemsireliksbf%5Fksu%5Fedu%5Ftr%2FDocuments%2FAKRED%C4%B0TASYON%20KANITLARI%2F%C3%96%C4%B0S%2Ftoplant%C4%B1%2Epdf&amp;parent=%2Fpersonal%2Fhemsireliksbf%5Fksu%5Fedu%5Ftr%2FDocuments%2FAKRED%C4%B0TASYON%20KANITLARI%2F%C3%96%C4%B0S&amp;ga=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0BAF9FAA">
      <w:pPr>
        <w:spacing w:line="360" w:lineRule="auto"/>
        <w:jc w:val="both"/>
      </w:pPr>
      <w:r>
        <w:rPr>
          <w:rFonts w:ascii="Times New Roman" w:hAnsi="Times New Roman" w:eastAsia="Times New Roman" w:cs="Times New Roman"/>
          <w:sz w:val="24"/>
          <w:szCs w:val="24"/>
        </w:rPr>
        <w:t xml:space="preserve">Program amaçları; </w:t>
      </w:r>
    </w:p>
    <w:p w14:paraId="6B8CEB10">
      <w:pPr>
        <w:pStyle w:val="41"/>
        <w:numPr>
          <w:ilvl w:val="0"/>
          <w:numId w:val="12"/>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Bilimsel anlayış kazanmış ve bilgilerini mesleki alanda beceriye dönüştürebilen tüm dünya ülkelerindeki sağlık kuruluşlarında kapsamlı ve çağdaş Hemşirelik hizmeti verecek yeterli bilgi ve beceri donanımına sahip hemşireler yetiştirmek,</w:t>
      </w:r>
    </w:p>
    <w:p w14:paraId="1822A865">
      <w:pPr>
        <w:pStyle w:val="41"/>
        <w:numPr>
          <w:ilvl w:val="0"/>
          <w:numId w:val="12"/>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Hemşirelik alanında bilimsel çerçevede araştırma ve inceleme yapabilecek yeterliliğe sahip insan gücünü yetiştirmek, </w:t>
      </w:r>
    </w:p>
    <w:p w14:paraId="04A2ED9B">
      <w:pPr>
        <w:pStyle w:val="41"/>
        <w:numPr>
          <w:ilvl w:val="0"/>
          <w:numId w:val="12"/>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Fakültenin gelişmesini, toplumla eş güdümünü sağlayabilecek toplum sağlığını koruma, geliştirme ve yükseltme bilince sahip, ülkedeki kurum ve kuruluşların ihtiyaç duyduğu alanlarda çalışacak hemşireler yetiştirmektir.</w:t>
      </w:r>
    </w:p>
    <w:p w14:paraId="79820EA6">
      <w:pPr>
        <w:spacing w:line="360" w:lineRule="auto"/>
        <w:jc w:val="both"/>
      </w:pPr>
      <w:r>
        <w:rPr>
          <w:rFonts w:ascii="Times New Roman" w:hAnsi="Times New Roman" w:eastAsia="Times New Roman" w:cs="Times New Roman"/>
          <w:b/>
          <w:bCs/>
          <w:i/>
          <w:iCs/>
          <w:sz w:val="24"/>
          <w:szCs w:val="24"/>
        </w:rPr>
        <w:t>Program çıktıları,</w:t>
      </w:r>
      <w:r>
        <w:rPr>
          <w:rFonts w:ascii="Times New Roman" w:hAnsi="Times New Roman" w:eastAsia="Times New Roman" w:cs="Times New Roman"/>
          <w:sz w:val="24"/>
          <w:szCs w:val="24"/>
        </w:rPr>
        <w:t xml:space="preserve"> periyodu olan 4 yıllık periyotlarda, eğitim amaçlarını karşılayacak şekilde gözden geçirilmesi ve gerekirse güncellenmesi planlanmıştır </w:t>
      </w:r>
      <w:r>
        <w:fldChar w:fldCharType="begin"/>
      </w:r>
      <w:r>
        <w:instrText xml:space="preserve"> HYPERLINK "https://ksuedutr-my.sharepoint.com/personal/hemsireliksbf_ksu_edu_tr/_layouts/15/onedrive.aspx?id=%2Fpersonal%2Fhemsireliksbf%5Fksu%5Fedu%5Ftr%2FDocuments%2FAKRED%C4%B0TASYON%20KANITLARI%2F%C3%96%C4%B0S%2Ftoplant%C4%B1%2Epdf&amp;parent=%2Fpersonal%2Fhemsireliksbf%5Fksu%5Fedu%5Ftr%2FDocuments%2FAKRED%C4%B0TASYON%20KANITLARI%2F%C3%96%C4%B0S&amp;ga=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 çıktıları, mezun profili hedefleri dikkate alınarak belirlenmiş; bu çıktılar mesleki bilgi, klinik beceri, iletişim, etik duyarlılık, ekip çalışması, yaşam boyu öğrenme ve toplumsal sorumluluk boyutlarını içerecek şekilde yapılandırılmıştır. Program çıktılarının TYYÇ </w:t>
      </w:r>
      <w:r>
        <w:fldChar w:fldCharType="begin"/>
      </w:r>
      <w:r>
        <w:instrText xml:space="preserve"> HYPERLINK "https://ksuedutr-my.sharepoint.com/:b:/g/personal/hemsireliksbf_ksu_edu_tr/EQVagZ4JKmhFoaOzzntHfIgBTb0CjTVz5SH4ScF9hvkldA?e=xziBP1"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Hemşirelik Lisans Eğitimi Programı Ulusal Yeterlilik (HUÇEP) </w:t>
      </w:r>
      <w:r>
        <w:fldChar w:fldCharType="begin"/>
      </w:r>
      <w:r>
        <w:instrText xml:space="preserve"> HYPERLINK "https://ksuedutr-my.sharepoint.com/:b:/g/personal/hemsireliksbf_ksu_edu_tr/Eaa5aeqSvRZDkgu0zI5p_zwBnpqWz4hFHLsUBF2PDt7CHw?e=TfnZ0Y"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HEPDAK lisans programı çıktılarının</w:t>
      </w:r>
      <w:r>
        <w:rPr>
          <w:rFonts w:ascii="Times New Roman" w:hAnsi="Times New Roman" w:eastAsia="Times New Roman" w:cs="Times New Roman"/>
          <w:b/>
          <w:bCs/>
          <w:sz w:val="24"/>
          <w:szCs w:val="24"/>
        </w:rPr>
        <w:t xml:space="preserve"> </w:t>
      </w:r>
      <w:r>
        <w:fldChar w:fldCharType="begin"/>
      </w:r>
      <w:r>
        <w:instrText xml:space="preserve"> HYPERLINK "https://ksuedutr-my.sharepoint.com/:b:/g/personal/hemsireliksbf_ksu_edu_tr/EWD8KciY6ZZFnhTDwwvsz6QBiJVLgwq3zSayINjsKCNbcg?e=QcyzFi"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İlişkisi ile uyumu sağlanmış ve bu uyum sistematik olarak izlenmektedir. Program çıktılarının ders öğrenme kazanımları ile ilişkisi ders–program çıktıları matrisleri aracılığıyla ortaya konulmakta ve düzenli olarak gözden geçirilmektedir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0D78F11E">
      <w:pPr>
        <w:spacing w:line="360" w:lineRule="auto"/>
        <w:jc w:val="both"/>
      </w:pPr>
      <w:r>
        <w:rPr>
          <w:rFonts w:ascii="Times New Roman" w:hAnsi="Times New Roman" w:eastAsia="Times New Roman" w:cs="Times New Roman"/>
          <w:sz w:val="24"/>
          <w:szCs w:val="24"/>
        </w:rPr>
        <w:t>Program çıktıları;</w:t>
      </w:r>
    </w:p>
    <w:p w14:paraId="73C6B448">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Mesleki profesyonellik doğrultusunda uygulamaları planlama, yürütme, değerlendirme ve sonuçları etkin bir şekilde yorumlama kabiliyeti kazanır. </w:t>
      </w:r>
    </w:p>
    <w:p w14:paraId="28FF2AB0">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Sağlıkla ilgili araştırma, proje ve diğer etkinliklere katılır.</w:t>
      </w:r>
    </w:p>
    <w:p w14:paraId="60157794">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Bilimsel faaliyet içerisinde olarak, mesleği ile ilgili verilerin araştırılması ve bunların yayınlanmasında etkin rol üstlenir. </w:t>
      </w:r>
    </w:p>
    <w:p w14:paraId="32995A35">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Sağlıklı veya hasta bireylerin her ortamda hemşirelik bakım gereksinimlerini belirler. </w:t>
      </w:r>
    </w:p>
    <w:p w14:paraId="40267D3E">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Mesleki otonomisini kullanarak bütüncül yaklaşımla hastalarına bakım sağlar. </w:t>
      </w:r>
    </w:p>
    <w:p w14:paraId="1F9F9322">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Birey, aile ve toplumun sağlığına yönelik eğitim, danışmanlık, yönetim ve organizasyon, araştırma ve bakım hizmetlerini sunma becerisi edinir. </w:t>
      </w:r>
    </w:p>
    <w:p w14:paraId="47DC5080">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Kalite anlayışını benimseyerek hemşirelik hizmetlerini uluslararası standartlara uygun bir şekilde yapar. </w:t>
      </w:r>
    </w:p>
    <w:p w14:paraId="6A090D79">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Alanıyla ilgili yasal süreçleri bilip, etik ilkeleri doğru kullanarak mesleki sorumlulukları üstlenir. </w:t>
      </w:r>
    </w:p>
    <w:p w14:paraId="7856C607">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Hastaların fizyolojik, psikolojik, sosyal ve kültürel özelliklerine ilişkin öğrenciler mesleki bilimsel bilgilere sahip olur. </w:t>
      </w:r>
    </w:p>
    <w:p w14:paraId="33F7EA0A">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Hemşirelik mesleğinde kullanılan sağlık, fen, sosyal alanlarına ilişkin bilimsel bilgileri kullanabilir. </w:t>
      </w:r>
    </w:p>
    <w:p w14:paraId="48DA3FE6">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Çağdaş hemşireliğin rollerini özümseyerek çalışmalarını yürütür. </w:t>
      </w:r>
    </w:p>
    <w:p w14:paraId="77D23238">
      <w:pPr>
        <w:pStyle w:val="41"/>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Acil; kriz ve doğal afet durumlarında hemşirelik mesleğinin gerektirdiği sağlık hizmetlerini sunma becerisini kazanmıştır.</w:t>
      </w:r>
    </w:p>
    <w:p w14:paraId="55DD7C1D">
      <w:pPr>
        <w:spacing w:line="360" w:lineRule="auto"/>
        <w:jc w:val="both"/>
      </w:pPr>
      <w:r>
        <w:rPr>
          <w:rFonts w:ascii="Times New Roman" w:hAnsi="Times New Roman" w:eastAsia="Times New Roman" w:cs="Times New Roman"/>
          <w:sz w:val="24"/>
          <w:szCs w:val="24"/>
        </w:rPr>
        <w:t xml:space="preserve">Programın ders planı; temel hemşirelik bilimleri, klinik alan dersleri, toplum sağlığına yönelik dersler ve seçmeli derslerden oluşacak biçimde dengeli bir yapıda tasarlanmıştır. Kuramsal dersler ile klinik ve saha uygulamaları arasında yatay ve dikey bütünlük sağlanarak öğrencilerin öğrenme sürecinin kademeli olarak ilerlemesi hedeflenmiştir. Klinik uygulamaların erken dönemden itibaren programa entegre edilmesiyle öğrencilerin mesleki rol ve sorumlulukları deneyimleyerek öğrenmeleri desteklenmektedir </w:t>
      </w:r>
      <w:r>
        <w:fldChar w:fldCharType="begin"/>
      </w:r>
      <w:r>
        <w:instrText xml:space="preserve"> HYPERLINK "https://drive.google.com/file/d/1QmOpPDKN8vDFvjdVVq4-kt_E_mw-fzLe/view?usp=sharing"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Dersler, öğrenci iş yüküne dayalı olarak tasarlanmakta ve Avrupa Kredi Transfer Sistemi (AKTS) esas alınarak kredilendirilmektedir. Ders bilgi paketlerinde; dersin amacı, öğrenme kazanımları, öğretim yöntemleri, ölçme-değerlendirme yöntemleri ve öğrenci iş yükü bileşenleri açık ve şeffaf biçimde tanımlanmaktadır. Öğrencilerden elde edilen ders değerlendirme anketleri ve geri bildirimler doğrultusunda AKTS iş yükü hesaplamaları düzenli aralıklarla gözden geçirilmekte ve gerektiğinde güncellenmektedir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Programın izlenmesi ve değerlendirilmesi süreci, kalite güvencesi yaklaşımı çerçevesinde planla–uygula–kontrol et–önlem al (PUKÖ) döngüsü esas alınarak yürütülmektedir. Bu kapsamda ders başarı oranları, ölçme-değerlendirme sonuçları, öğrenci memnuniyet anketleri </w:t>
      </w:r>
      <w:r>
        <w:fldChar w:fldCharType="begin"/>
      </w:r>
      <w:r>
        <w:instrText xml:space="preserve"> HYPERLINK "https://docs.google.com/document/d/1LyB9iuCp5nlSeIJQm_vzH0KD6bm08V9t/edit?usp=sharing&amp;ouid=107622420892877711975&amp;rtpof=true&amp;sd=true"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mezun izleme çalışmaları </w:t>
      </w:r>
      <w:r>
        <w:fldChar w:fldCharType="begin"/>
      </w:r>
      <w:r>
        <w:instrText xml:space="preserve"> HYPERLINK "https://docs.google.com/document/d/13xvjYsR79qp_mHHUxEHCXLz2Q3Oy_7t4/edit?usp=sharing&amp;ouid=107622420892877711975&amp;rtpof=true&amp;sd=true"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iç </w:t>
      </w:r>
      <w:r>
        <w:fldChar w:fldCharType="begin"/>
      </w:r>
      <w:r>
        <w:instrText xml:space="preserve"> HYPERLINK "https://docs.google.com/document/d/1paP0TbTrQU2whtY4XLP7E8o70pFHJ6as/edit" \l "heading=h.1gjsfd3ljksb"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"https://docs.google.com/document/d/1bb7F0rUfOpw-BigWCPwfuN2I9sJReOAr/edit?usp=sharing&amp;ouid=107622420892877711975&amp;rtpof=true&amp;sd=true"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ve dış </w:t>
      </w:r>
      <w:r>
        <w:fldChar w:fldCharType="begin"/>
      </w:r>
      <w:r>
        <w:instrText xml:space="preserve"> HYPERLINK "https://docs.google.com/document/d/1D7NSQdXono15q8UbJ_lOdz-MENHvepNt/edit?usp=sharing&amp;ouid=107622420892877711975&amp;rtpof=true&amp;sd=true"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"https://docs.google.com/document/d/1JafRzB2TfjgiPEmcehINHenY0PNqwjtj/edit?usp=sharing&amp;ouid=107622420892877711975&amp;rtpof=true&amp;sd=true"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paydaş geri bildirimleri analiz edilmekte; elde edilen bulgular programın güçlü ve gelişime açık yönlerinin belirlenmesinde kullanılmaktadır. Programın güncellenmesi sürecinde; sağlık hizmetlerindeki değişen ihtiyaçlar, bilimsel ve teknolojik gelişmeler, hemşirelik eğitimi alanındaki ulusal ve uluslararası eğilimler ile akreditasyon ölçütleri dikkate alınmaktadır. Güncelleme önerileri bölüm kurulları ve ilgili komisyonlarda değerlendirilmekte, alınan kararlar fakülte kurulları aracılığıyla uygulamaya aktarılmaktadır. Bu süreçte iç ve dış paydaşların görüşlerine önem verilmekte ve paydaş katılımı sürekli iyileştirme yaklaşımının temel bileşenlerinden biri olarak ele alınmaktadır </w:t>
      </w:r>
      <w:r>
        <w:fldChar w:fldCharType="begin"/>
      </w:r>
      <w:r>
        <w:instrText xml:space="preserve"> HYPERLINK "https://docs.google.com/document/d/1paP0TbTrQU2whtY4XLP7E8o70pFHJ6as/edit?usp=sharing&amp;ouid=107622420892877711975&amp;rtpof=true&amp;sd=true"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 \l "heading=h.1gjsfd3ljksb"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"https://docs.google.com/document/d/1bb7F0rUfOpw-BigWCPwfuN2I9sJReOAr/edit?usp=sharing&amp;ouid=107622420892877711975&amp;rtpof=true&amp;sd=true"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"https://docs.google.com/document/d/1D7NSQdXono15q8UbJ_lOdz-MENHvepNt/edit?usp=sharing&amp;ouid=107622420892877711975&amp;rtpof=true&amp;sd=true"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"https://docs.google.com/document/d/1JafRzB2TfjgiPEmcehINHenY0PNqwjtj/edit?usp=sharing&amp;ouid=107622420892877711975&amp;rtpof=true&amp;sd=true"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 xml:space="preserve"> </w:t>
      </w:r>
      <w:r>
        <w:fldChar w:fldCharType="begin"/>
      </w:r>
      <w:r>
        <w:instrText xml:space="preserve"> HYPERLINK "https://drive.google.com/file/d/1DNlRvKJQF2Op2bgTuJjmbw2einbCOxqx/view?usp=sharing"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"https://drive.google.com/file/d/1VIAzBqTETQ1ZFCslJvZmvhbasqC5a6Sd/view?usp=sharing" \h </w:instrText>
      </w:r>
      <w:r>
        <w:fldChar w:fldCharType="separate"/>
      </w:r>
      <w:r>
        <w:rPr>
          <w:rStyle w:val="20"/>
          <w:rFonts w:ascii="Times New Roman" w:hAnsi="Times New Roman" w:eastAsia="Times New Roman" w:cs="Times New Roman"/>
          <w:color w:val="0563C1"/>
          <w:sz w:val="24"/>
          <w:szCs w:val="24"/>
        </w:rPr>
        <w:t xml:space="preserve">[OD3] </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"https://drive.google.com/file/d/17QnVcYLD7Tzjf7b0Rdox4MOwMzCNyN89/view?usp=sharing"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"https://drive.google.com/file/d/1s0pdUg60oPPDrbcheFYummRnb-Rs5Vp6/view?usp=sharing"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 xml:space="preserve">  </w:t>
      </w:r>
      <w:r>
        <w:fldChar w:fldCharType="begin"/>
      </w:r>
      <w:r>
        <w:instrText xml:space="preserve"> HYPERLINK "https://drive.google.com/file/d/1uSSqlmjoSkDEU_Kn1jhEYsbDDYCk_CIH/view?usp=sharing"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rPr>
        <w:t>.</w:t>
      </w:r>
      <w:r>
        <w:rPr>
          <w:rFonts w:ascii="Times New Roman" w:hAnsi="Times New Roman" w:eastAsia="Times New Roman" w:cs="Times New Roman"/>
          <w:sz w:val="24"/>
          <w:szCs w:val="24"/>
        </w:rPr>
        <w:t xml:space="preserve">. Eğitim ve öğretim süreçlerinin yönetimi; akademik kurullar, komisyonlar ve idari birimler arasında tanımlı görev, yetki ve sorumluluklar çerçevesinde yürütülmektedir. Programın tasarımı, uygulanması, izlenmesi ve güncellenmesine ilişkin tüm süreçler kayıt altına alınmakta ve şeffaflık ilkesi doğrultusunda paydaşlarla paylaşılmaktadır. Bu yapı sayesinde Hemşirelik Bölümü lisans programının sürdürülebilirliği ve eğitim-öğretim kalitesinin sürekli olarak artırılması hedeflenmektedir </w:t>
      </w:r>
      <w:r>
        <w:fldChar w:fldCharType="begin"/>
      </w:r>
      <w:r>
        <w:instrText xml:space="preserve"> HYPERLINK "https://sbfhemsirelik.ksu.edu.tr/Default.aspx?SId=32639"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622933D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1EC0DC3B">
      <w:pPr>
        <w:pStyle w:val="3"/>
        <w:spacing w:line="360" w:lineRule="auto"/>
        <w:rPr>
          <w:rFonts w:ascii="Times New Roman" w:hAnsi="Times New Roman" w:cs="Times New Roman"/>
          <w:b w:val="0"/>
          <w:bCs w:val="0"/>
        </w:rPr>
      </w:pPr>
      <w:r>
        <w:rPr>
          <w:rFonts w:ascii="Times New Roman" w:hAnsi="Times New Roman" w:cs="Times New Roman"/>
          <w:b w:val="0"/>
          <w:bCs w:val="0"/>
        </w:rPr>
        <w:t>Tanımlı süreçler doğrultusunda; Kurumun genelinde, tasarımı ve onayı gerçekleşen programlar, programların amaç ve öğrenme çıktılarına uygun olarak yürütülmektedir.</w:t>
      </w:r>
    </w:p>
    <w:p w14:paraId="67CD7628">
      <w:pPr>
        <w:pStyle w:val="3"/>
        <w:spacing w:line="360" w:lineRule="auto"/>
        <w:rPr>
          <w:rFonts w:ascii="Times New Roman" w:hAnsi="Times New Roman" w:cs="Times New Roman"/>
          <w:b w:val="0"/>
          <w:bCs w:val="0"/>
        </w:rPr>
      </w:pPr>
      <w:r>
        <w:rPr>
          <w:rFonts w:ascii="Times New Roman" w:hAnsi="Times New Roman" w:cs="Times New Roman"/>
          <w:b w:val="0"/>
          <w:bCs w:val="0"/>
        </w:rPr>
        <w:t xml:space="preserve">Fizyoterapi ve Rehabilitasyon bölümü müfredatı; Fizyoterapi ve Rehabilitasyon lisans eğitimlerini yürüten diğer üniversitelerin güncel müfredatları, Bologna süreci ve Fizyoterapi ve Rehabilitasyon Çekirdek Eğitim Programı (FTR-ÇEP 2025) doğrultusunda oluşturulmuştur </w:t>
      </w:r>
      <w:r>
        <w:fldChar w:fldCharType="begin"/>
      </w:r>
      <w:r>
        <w:instrText xml:space="preserve"> HYPERLINK "https://sbf.gelisim.edu.tr/tr/akademik-bolum-fizyoterapi-ve-rehabilitasyon-(ingilizce)-haber-ftr-ucep-2025-guncellendi-yok-ten-fizyoterapi-egitimine-yeni-cerceve" </w:instrText>
      </w:r>
      <w:r>
        <w:fldChar w:fldCharType="separate"/>
      </w:r>
      <w:r>
        <w:rPr>
          <w:rStyle w:val="20"/>
          <w:rFonts w:ascii="Times New Roman" w:hAnsi="Times New Roman" w:cs="Times New Roman"/>
          <w:b w:val="0"/>
          <w:bCs w:val="0"/>
        </w:rPr>
        <w:t>[OD3]</w:t>
      </w:r>
      <w:r>
        <w:rPr>
          <w:rStyle w:val="20"/>
          <w:rFonts w:ascii="Times New Roman" w:hAnsi="Times New Roman" w:cs="Times New Roman"/>
          <w:b w:val="0"/>
          <w:bCs w:val="0"/>
        </w:rPr>
        <w:fldChar w:fldCharType="end"/>
      </w:r>
      <w:r>
        <w:rPr>
          <w:rFonts w:ascii="Times New Roman" w:hAnsi="Times New Roman" w:cs="Times New Roman"/>
          <w:b w:val="0"/>
          <w:bCs w:val="0"/>
        </w:rPr>
        <w:t>.</w:t>
      </w:r>
    </w:p>
    <w:p w14:paraId="503ADB9C">
      <w:pPr>
        <w:pStyle w:val="3"/>
        <w:spacing w:line="360" w:lineRule="auto"/>
        <w:rPr>
          <w:rFonts w:ascii="Times New Roman" w:hAnsi="Times New Roman" w:cs="Times New Roman"/>
          <w:b w:val="0"/>
          <w:bCs w:val="0"/>
        </w:rPr>
      </w:pPr>
      <w:r>
        <w:rPr>
          <w:rFonts w:ascii="Times New Roman" w:hAnsi="Times New Roman" w:cs="Times New Roman"/>
          <w:b w:val="0"/>
          <w:bCs w:val="0"/>
        </w:rPr>
        <w:t>Fizyoterapi ve Rehabilitasyon Bölüm müfredatlarında Bologna sürecine uygun olarak,</w:t>
      </w:r>
    </w:p>
    <w:p w14:paraId="7D07CBE8">
      <w:pPr>
        <w:pStyle w:val="3"/>
        <w:spacing w:line="360" w:lineRule="auto"/>
        <w:rPr>
          <w:rFonts w:ascii="Times New Roman" w:hAnsi="Times New Roman" w:cs="Times New Roman"/>
          <w:b w:val="0"/>
          <w:bCs w:val="0"/>
        </w:rPr>
      </w:pPr>
      <w:r>
        <w:rPr>
          <w:rFonts w:ascii="Times New Roman" w:hAnsi="Times New Roman" w:cs="Times New Roman"/>
          <w:b w:val="0"/>
          <w:bCs w:val="0"/>
        </w:rPr>
        <w:t xml:space="preserve">%75 zorunlu ve %25 seçmeli dersler bulunmaktadır. Beden Eğitimi, Resim, Müzik, Tiyatro, Yabancı Dil, Beslenme İlkeleri, İlkyardım, İşitme ve Konuşma tedavisi vb. seçmeli ders seçme imkanı bulunmaktadır </w:t>
      </w:r>
      <w:r>
        <w:fldChar w:fldCharType="begin"/>
      </w:r>
      <w:r>
        <w:instrText xml:space="preserve"> HYPERLINK "https://obs.ksu.edu.tr/oibs/bologna/index.aspx?lang=tr&amp;curOp=sho%20wPac&amp;curUnit=34&amp;curSunit=10144" </w:instrText>
      </w:r>
      <w:r>
        <w:fldChar w:fldCharType="separate"/>
      </w:r>
      <w:r>
        <w:rPr>
          <w:rStyle w:val="20"/>
          <w:rFonts w:ascii="Times New Roman" w:hAnsi="Times New Roman" w:cs="Times New Roman"/>
          <w:b w:val="0"/>
          <w:bCs w:val="0"/>
        </w:rPr>
        <w:t>[OD3]</w:t>
      </w:r>
      <w:r>
        <w:rPr>
          <w:rStyle w:val="20"/>
          <w:rFonts w:ascii="Times New Roman" w:hAnsi="Times New Roman" w:cs="Times New Roman"/>
          <w:b w:val="0"/>
          <w:bCs w:val="0"/>
        </w:rPr>
        <w:fldChar w:fldCharType="end"/>
      </w:r>
      <w:r>
        <w:rPr>
          <w:rFonts w:ascii="Times New Roman" w:hAnsi="Times New Roman" w:cs="Times New Roman"/>
          <w:b w:val="0"/>
          <w:bCs w:val="0"/>
        </w:rPr>
        <w:t>.</w:t>
      </w:r>
    </w:p>
    <w:p w14:paraId="2F267420">
      <w:pPr>
        <w:pStyle w:val="3"/>
        <w:spacing w:line="360" w:lineRule="auto"/>
        <w:rPr>
          <w:rFonts w:ascii="Times New Roman" w:hAnsi="Times New Roman" w:cs="Times New Roman"/>
          <w:b w:val="0"/>
          <w:bCs w:val="0"/>
        </w:rPr>
      </w:pPr>
      <w:r>
        <w:rPr>
          <w:rFonts w:ascii="Times New Roman" w:hAnsi="Times New Roman" w:cs="Times New Roman"/>
          <w:b w:val="0"/>
          <w:bCs w:val="0"/>
        </w:rPr>
        <w:t>Fizyoterapi ve Rehabilitasyon programı yeterlilikleri ve ders bilgi paketleri belirlenerek, OBS sisteminde tanımlanmıştır</w:t>
      </w:r>
    </w:p>
    <w:p w14:paraId="7141B861">
      <w:pPr>
        <w:pStyle w:val="3"/>
        <w:spacing w:line="360" w:lineRule="auto"/>
        <w:rPr>
          <w:rFonts w:ascii="Times New Roman" w:hAnsi="Times New Roman" w:cs="Times New Roman"/>
          <w:b w:val="0"/>
          <w:bCs w:val="0"/>
        </w:rPr>
      </w:pPr>
      <w:r>
        <w:rPr>
          <w:rFonts w:ascii="Times New Roman" w:hAnsi="Times New Roman" w:cs="Times New Roman"/>
          <w:b w:val="0"/>
          <w:bCs w:val="0"/>
        </w:rPr>
        <w:t>Fizyoterapi ve Rehabilitasyon program çıktılarının gerçekleştiğinin nasıl izleneceğine dair planlama yapılmamıştır.</w:t>
      </w:r>
    </w:p>
    <w:p w14:paraId="404B4763">
      <w:pPr>
        <w:pStyle w:val="3"/>
        <w:spacing w:line="360" w:lineRule="auto"/>
        <w:rPr>
          <w:b w:val="0"/>
          <w:bCs w:val="0"/>
        </w:rPr>
      </w:pPr>
      <w:r>
        <w:rPr>
          <w:rFonts w:ascii="Times New Roman" w:hAnsi="Times New Roman" w:cs="Times New Roman"/>
          <w:b w:val="0"/>
          <w:bCs w:val="0"/>
        </w:rPr>
        <w:t xml:space="preserve">Öğrenme çıktılarının ve gerekli öğretim süreçlerinin yapılandırılmasında bölüm bazında ilke ve kurallar bulunmaktadır </w:t>
      </w:r>
      <w:r>
        <w:fldChar w:fldCharType="begin"/>
      </w:r>
      <w:r>
        <w:instrText xml:space="preserve"> HYPERLINK "https://obs.ksu.edu.tr/oibs/bologna/index.aspx?lang=tr&amp;curOp=sho%20wPac&amp;curUnit=34&amp;curSunit=10144" </w:instrText>
      </w:r>
      <w:r>
        <w:fldChar w:fldCharType="separate"/>
      </w:r>
      <w:r>
        <w:rPr>
          <w:rStyle w:val="20"/>
          <w:rFonts w:ascii="Times New Roman" w:hAnsi="Times New Roman" w:cs="Times New Roman"/>
          <w:b w:val="0"/>
          <w:bCs w:val="0"/>
        </w:rPr>
        <w:t>[OD3]</w:t>
      </w:r>
      <w:r>
        <w:rPr>
          <w:rStyle w:val="20"/>
          <w:rFonts w:ascii="Times New Roman" w:hAnsi="Times New Roman" w:cs="Times New Roman"/>
          <w:b w:val="0"/>
          <w:bCs w:val="0"/>
        </w:rPr>
        <w:fldChar w:fldCharType="end"/>
      </w:r>
      <w:r>
        <w:rPr>
          <w:rFonts w:ascii="Times New Roman" w:hAnsi="Times New Roman" w:cs="Times New Roman"/>
          <w:b w:val="0"/>
          <w:bCs w:val="0"/>
        </w:rPr>
        <w:t xml:space="preserve">. Program düzeyinde yeterliliklerin hangi eylemlerle kazandırılabileceği (yeterlilik-ders-öğretim yöntemi matrisleri) belirlenerek OBS sisteminde derslere tanımlanmıştır </w:t>
      </w:r>
      <w:r>
        <w:fldChar w:fldCharType="begin"/>
      </w:r>
      <w:r>
        <w:instrText xml:space="preserve"> HYPERLINK "https://obs.ksu.edu.tr/oibs/bologna/index.aspx?lang=tr&amp;curOp=sho%20wPac&amp;curUnit=34&amp;curSunit=10144" </w:instrText>
      </w:r>
      <w:r>
        <w:fldChar w:fldCharType="separate"/>
      </w:r>
      <w:r>
        <w:rPr>
          <w:rStyle w:val="20"/>
          <w:rFonts w:ascii="Times New Roman" w:hAnsi="Times New Roman" w:cs="Times New Roman"/>
          <w:b w:val="0"/>
          <w:bCs w:val="0"/>
        </w:rPr>
        <w:t>[OD3]</w:t>
      </w:r>
      <w:r>
        <w:rPr>
          <w:rStyle w:val="20"/>
          <w:rFonts w:ascii="Times New Roman" w:hAnsi="Times New Roman" w:cs="Times New Roman"/>
          <w:b w:val="0"/>
          <w:bCs w:val="0"/>
        </w:rPr>
        <w:fldChar w:fldCharType="end"/>
      </w:r>
      <w:r>
        <w:rPr>
          <w:rFonts w:ascii="Times New Roman" w:hAnsi="Times New Roman" w:cs="Times New Roman"/>
          <w:b w:val="0"/>
          <w:bCs w:val="0"/>
        </w:rPr>
        <w:t>.</w:t>
      </w:r>
    </w:p>
    <w:p w14:paraId="61B674AD">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Ebelik</w:t>
      </w:r>
    </w:p>
    <w:p w14:paraId="3D85DEEF">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KSÜ Sağlık Bilimle</w:t>
      </w:r>
      <w:r>
        <w:rPr>
          <w:rFonts w:ascii="Times New Roman" w:hAnsi="Times New Roman" w:eastAsia="Times New Roman" w:cs="Times New Roman"/>
          <w:sz w:val="24"/>
          <w:szCs w:val="24"/>
        </w:rPr>
        <w:t xml:space="preserve">ri Fakültesi Ebelik Bölümü lisans programı; Yükseköğretim Kurulu (YÖK) düzenlemeleri, Türkiye Yükseköğretim Yeterlilikler Çerçevesi (TYYÇ), ulusal çekirdek ebelik eğitim programları ve ebelik mesleğinin güncel gereksinimleri doğrultusunda yapılandırılmıştır </w:t>
      </w:r>
      <w:r>
        <w:fldChar w:fldCharType="begin"/>
      </w:r>
      <w:r>
        <w:instrText xml:space="preserve"> HYPERLINK "https://drive.google.com/file/d/1XVEtfzDcqwpqdFvNTp6h4FWhK_sCPSS0/view"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53C64F2A">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Bölüm tarafından, EUCEP akreditasyon başvurusu için ön hazırlık süreci başlatılmıştır. Bu kapsamda, ebelik lisans müfredatının uygulama ağırlığını güçlendirmeye yönelik güncellenmesi amacıyla müfredat değerlendirme ve revizyonuna ilişkin veri toplama süreci yürütülmektedir </w:t>
      </w:r>
      <w:r>
        <w:fldChar w:fldCharType="begin"/>
      </w:r>
      <w:r>
        <w:instrText xml:space="preserve"> HYPERLINK "https://sbfebelik.ksu.edu.tr/"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79D7DE03">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EUCEP başvurusu öncesinde, eğitim programının niteliğini artırmak ve akreditasyon ölçütleriyle uyumunu sağlamak amacıyla iç ve dış paydaşların görüşlerinin alınacağı toplantıların planlanması süreci devam etmektedir </w:t>
      </w:r>
      <w:r>
        <w:fldChar w:fldCharType="begin"/>
      </w:r>
      <w:r>
        <w:instrText xml:space="preserve"> HYPERLINK "https://sbfebelik.ksu.edu.tr/"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Paydaş geri bildirimleri doğrultusunda yapılacak müfredat güncellemeleri, ilgili bölüm ve fakülte kurullarında değerlendirilerek kurumsal karar süreçlerine dâhil edilecektir </w:t>
      </w:r>
      <w:r>
        <w:fldChar w:fldCharType="begin"/>
      </w:r>
      <w:r>
        <w:instrText xml:space="preserve"> HYPERLINK "https://sbfebelik.ksu.edu.tr/"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696D1E89">
      <w:pPr>
        <w:spacing w:before="240" w:after="240" w:line="360" w:lineRule="auto"/>
        <w:jc w:val="both"/>
        <w:rPr>
          <w:rFonts w:ascii="Times New Roman" w:hAnsi="Times New Roman" w:eastAsia="Times New Roman" w:cs="Times New Roman"/>
          <w:color w:val="0563C1"/>
          <w:sz w:val="24"/>
          <w:szCs w:val="24"/>
        </w:rPr>
      </w:pPr>
      <w:r>
        <w:rPr>
          <w:rFonts w:ascii="Times New Roman" w:hAnsi="Times New Roman" w:eastAsia="Times New Roman" w:cs="Times New Roman"/>
          <w:sz w:val="24"/>
          <w:szCs w:val="24"/>
        </w:rPr>
        <w:t>Bu çalışmalar tamamlandıktan sonra, Ebelik Bölümü lisans programı için EUCEP akreditasyon başvurusunun yapılması planlanmaktad</w:t>
      </w:r>
      <w:r>
        <w:rPr>
          <w:rFonts w:ascii="Times New Roman" w:hAnsi="Times New Roman" w:eastAsia="Times New Roman" w:cs="Times New Roman"/>
          <w:b/>
          <w:bCs/>
          <w:sz w:val="24"/>
          <w:szCs w:val="24"/>
        </w:rPr>
        <w:t>ır</w:t>
      </w:r>
      <w:r>
        <w:rPr>
          <w:rFonts w:ascii="Times New Roman" w:hAnsi="Times New Roman" w:eastAsia="Times New Roman" w:cs="Times New Roman"/>
          <w:sz w:val="24"/>
          <w:szCs w:val="24"/>
        </w:rPr>
        <w:t xml:space="preserve"> </w:t>
      </w:r>
      <w:r>
        <w:fldChar w:fldCharType="begin"/>
      </w:r>
      <w:r>
        <w:instrText xml:space="preserve"> HYPERLINK "https://sbfebelik.ksu.edu.tr/"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1A395AF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Programın amaçları</w:t>
      </w:r>
      <w:r>
        <w:rPr>
          <w:rFonts w:ascii="Times New Roman" w:hAnsi="Times New Roman" w:eastAsia="Times New Roman" w:cs="Times New Roman"/>
          <w:sz w:val="24"/>
          <w:szCs w:val="24"/>
        </w:rPr>
        <w:t xml:space="preserve"> belirlenirken; üniversitenin ve ebelik Fakültesinin Misyon ve Vizyonu, Yüksek Öğrenim Kurumu Ulusal Yeterlilik Çerçevesi-6, Yüksek Öğrenim Kurumu Sağlık Temel Alanı Akademik/Mesleki Yeterlilikleri, ebelik Kanunu ve ebelik Yönetmeliği, ebelik Ulusal Çekirdek Eğitim Programının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EUÇEP) Ulusal Yeterlilikleri temel alınmaktadır </w:t>
      </w:r>
      <w:r>
        <w:fldChar w:fldCharType="begin"/>
      </w:r>
      <w:r>
        <w:instrText xml:space="preserve"> HYPERLINK "https://sbfebelik.ksu.edu.tr/depo/belgeler/2025-%20Program%20Ama%C3%A7lar%C4%B1.docx%20(1)_2506301019356884.pdf"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Programın temel amacı; etik değerlere bağlı, eleştirel düşünebilen, kanıta dayalı uygulamaları benimseyen, birey–aile–toplum sağlığını bütüncül bir yaklaşımla ele alabilen yetkin hemşireler yetiştirmektir. Program tasarımı, bu amaç doğrultusunda bilgi, beceri ve tutum alanlarını kapsayacak şekilde planlanmıştır </w:t>
      </w:r>
      <w:r>
        <w:fldChar w:fldCharType="begin"/>
      </w:r>
      <w:r>
        <w:instrText xml:space="preserve"> HYPERLINK "https://sbfebelik.ksu.edu.tr/depo/belgeler/2025-%20Program%20Ama%C3%A7lar%C4%B1.docx%20(1)_2506301019356884.pdf"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w:t>
      </w:r>
      <w:r>
        <w:rPr>
          <w:rFonts w:ascii="Times New Roman" w:hAnsi="Times New Roman" w:eastAsia="Times New Roman" w:cs="Times New Roman"/>
          <w:sz w:val="24"/>
          <w:szCs w:val="24"/>
        </w:rPr>
        <w:t xml:space="preserve"> Program amaçları periyodu olan 4 yıllık periyotlarda, gözden geçirilmesi ve gerekirse güncellenmesi planlanmıştır </w:t>
      </w:r>
      <w:r>
        <w:fldChar w:fldCharType="begin"/>
      </w:r>
      <w:r>
        <w:instrText xml:space="preserve"> HYPERLINK "https://sbfebelik.ksu.edu.tr/depo/belgeler/2025-%20Program%20Ama%C3%A7lar%C4%B1.docx%20(1)_2506301019356884.pdf"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25629BFB">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amaçları; </w:t>
      </w:r>
    </w:p>
    <w:p w14:paraId="5306AA26">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Gebeliği, fetüsü ve yenidoğanı takip eden ve gerekli bireysel, bütüncül holistik bakımı sunan, Normal doğum sürecini kendi sorumluluğunda yöneten ve yaptırabilen</w:t>
      </w:r>
    </w:p>
    <w:p w14:paraId="41BA55F6">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Normalden sapmaları tespit edebilen ve bu sapmalarda profesyonel ebelik yaklaşımlarını kullanabilen, </w:t>
      </w:r>
    </w:p>
    <w:p w14:paraId="24809643">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Çiftlere prekonsepsiyonel dönemde üreme sağlığı ve aile planlaması konularında danışmanlık hizmeti verebilen </w:t>
      </w:r>
    </w:p>
    <w:p w14:paraId="74113E49">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Gebelik, doğum ve doğum sonu dönemlerde kadına; egzersiz, beslenme, yenidoğan sağlığı ve tarama programları, olası riskler ve tehlike belirtileri vb. konularda eğitim ve danışmanlık verebilen, </w:t>
      </w:r>
    </w:p>
    <w:p w14:paraId="548F6E54">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Anne ve yenidoğan sağlığının geliştirilmesinde, bağışıklama, cinsel yolla bulaşan hastalıklar, genital hastalıklar, bulaşıcı hastalıklarda koruyucu ve sağlığı geliştirici bakım hizmetleri sunabilen, Tüm bireyler olmak üzere özelde anne, çocuk, kadın haklarını koruyabilir, </w:t>
      </w:r>
    </w:p>
    <w:p w14:paraId="1D887771">
      <w:pPr>
        <w:numPr>
          <w:ilvl w:val="0"/>
          <w:numId w:val="14"/>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İnsan onuruna saygılı, mahremiyete önem veren Mesleki etik ve ahlak ilkelerini benimsemiş Ülke çıkarlarını düşünen, ülkesi ve insanlık yararına sorumluluk alabilen Sağlığı koruma, iyileştirme ve geliştirme noktasında çevreci ve sürdürülebilir uygulamaları bilen Afet durumlarında krizi yönetebilen bu noktada kritik öneme sahip olan ülkemiz ihtiyaçlarını karşılayabilecek yeni nesil ebeler yetiştirmektir</w:t>
      </w:r>
    </w:p>
    <w:p w14:paraId="175AE53F">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Program çıktıları,</w:t>
      </w:r>
      <w:r>
        <w:rPr>
          <w:rFonts w:ascii="Times New Roman" w:hAnsi="Times New Roman" w:eastAsia="Times New Roman" w:cs="Times New Roman"/>
          <w:sz w:val="24"/>
          <w:szCs w:val="24"/>
        </w:rPr>
        <w:t xml:space="preserve"> periyodu olan 4 yıllık periyotlarda, eğitim amaçlarını karşılayacak şekilde gözden geçirilmesi ve gerekirse güncellenmesi planlanmıştır </w:t>
      </w:r>
      <w:r>
        <w:fldChar w:fldCharType="begin"/>
      </w:r>
      <w:r>
        <w:instrText xml:space="preserve"> HYPERLINK "https://sbfebelik.ksu.edu.tr/depo/belgeler/M%C3%9CFREDAT%20G%C3%9CNCELLEME%20DUYURU%20METN%C4%B0_2510161955567600.pdf"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 çıktıları, mezun profili hedefleri dikkate alınarak belirlenmiş; bu çıktılar mesleki bilgi, klinik beceri, iletişim, etik duyarlılık, ekip çalışması, yaşam boyu öğrenme ve toplumsal sorumluluk boyutlarını içerecek şekilde yapılandırılmıştır. Program çıktılarının TYYÇ </w:t>
      </w:r>
      <w:r>
        <w:fldChar w:fldCharType="begin"/>
      </w:r>
      <w:r>
        <w:instrText xml:space="preserve"> HYPERLINK "https://ksuedutr-my.sharepoint.com/:b:/g/personal/hemsireliksbf_ksu_edu_tr/EQVagZ4JKmhFoaOzzntHfIgBTb0CjTVz5SH4ScF9hvkldA?e=xziBP1"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Ebelik Lisans Eğitimi Programı Ulusal Yeterlilik (EUÇEP) </w:t>
      </w:r>
      <w:r>
        <w:fldChar w:fldCharType="begin"/>
      </w:r>
      <w:r>
        <w:instrText xml:space="preserve"> HYPERLINK "https://egitim.yok.gov.tr/documentFiles/17594056261.Ebelik%20Ulusal%20%C3%87ekirdek%20E%C4%9Fitim%20Program%C4%B1.pdf"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EPDAK lisans programı çıktılarının</w:t>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İlişkisi ile uyumu sağlanmış ve bu uyum sistematik olarak izlenmektedir. Program çıktılarının ders öğrenme kazanımları ile ilişkisi ders–program çıktıları matrisleri aracılığıyla ortaya konulmakta ve düzenli olarak gözden geçirilmektedir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[OD2]</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p>
    <w:p w14:paraId="15196866">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Program çıktıları;</w:t>
      </w:r>
    </w:p>
    <w:p w14:paraId="0AC6C19D">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Gebelik öncesi, gebelik ve riskli gebelikleri tanılama, izleme, yönetmede etkili bir şekilde eğitim, danışmanlık ve bakım sağlama kapasitesine erişir. </w:t>
      </w:r>
    </w:p>
    <w:p w14:paraId="05FE4C20">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Kadın/üreme sağlığı, doğum ve doğum sonrası dönemlerde, anne ve yenidoğanın sağlığın korunması, geliştirilmesi ve risklerin erken tanılanması için kültürel farklılıklara duyarlı, kaliteli ve kanıta dayalı kadın ve toplum merkezli bakım verir</w:t>
      </w:r>
    </w:p>
    <w:p w14:paraId="07BB21EC">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Ebelik uygulamalarını, evrensel/mesleki etik kodlara, kalite yönetimine ve uluslararası ebelik felsefesine göre uygulama kabiliyetine erişir. </w:t>
      </w:r>
    </w:p>
    <w:p w14:paraId="31111A5A">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Ebelik öğrencileri güncel teknoloji ve bilgi kaynaklarını kullanarak bilimsel bilgi üretir ve kanıta dayalı uygulama yapar.</w:t>
      </w:r>
    </w:p>
    <w:p w14:paraId="782CAA56">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Sağlık ekibiyle etkili iletişim kurar, işbirliği yapar ve multidisipliner bir ortamda çalışabilme becerilerini artırarak ebeliğin profesyonel kimliğinin gelişmesini destekler. Alanı ile ilgili tarihsel ve yönetsel süreçleri bilir ve yöneticilik/liderlik becerilerini geliştirir. </w:t>
      </w:r>
    </w:p>
    <w:p w14:paraId="648F958F">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Hem kendi hem de iş ortamı ve vresi için sosyal, kültürel, entelektüel ve yabancı dil yetkinliğini geliştirir. </w:t>
      </w:r>
    </w:p>
    <w:p w14:paraId="73697393">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Yaşam boyu öğrenme sorumluluğu bilinci ile öz değerlendirme yapar. Acil; kriz ve doğal afet durumlarında ebelik mesleğinin gerektirdiği sağlık hizmetlerini sunma becerisini kazanır. </w:t>
      </w:r>
    </w:p>
    <w:p w14:paraId="2F83CC6F">
      <w:pPr>
        <w:numPr>
          <w:ilvl w:val="0"/>
          <w:numId w:val="15"/>
        </w:num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Çevreci ve sürdürülebilir ebelik uygulamalarını uygulama becerisine sahip olur</w:t>
      </w:r>
    </w:p>
    <w:p w14:paraId="6E4685E1">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sz w:val="24"/>
          <w:szCs w:val="24"/>
        </w:rPr>
      </w:pPr>
    </w:p>
    <w:p w14:paraId="228AF47D">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Ebelik Bölümü Program Hedefleri</w:t>
      </w:r>
    </w:p>
    <w:p w14:paraId="47D21AAE">
      <w:pPr>
        <w:pBdr>
          <w:top w:val="none" w:color="auto" w:sz="0" w:space="0"/>
          <w:left w:val="none" w:color="auto" w:sz="0" w:space="0"/>
          <w:bottom w:val="none" w:color="auto" w:sz="0" w:space="0"/>
          <w:right w:val="none" w:color="auto" w:sz="0" w:space="0"/>
          <w:between w:val="none" w:color="auto" w:sz="0" w:space="0"/>
        </w:pBd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eğitimi; Ebelik Ulusal Çekirdek Eğitim Programı (EUÇEP) kapsamında güncel bilgilerle desteklenerek öğrencilere bilgi ve becerilerin kazandırılması, Artırılan seçmeli ders sayısı ile öğrencilerin daha geniş bakış açısına sahip, çağdaş ve etik değerlere sahip olması, YÖK Başkanlığı tarafından 02.02.2008 tarih ve 26775 sayılı “Doktorluk, Hemşirelik, Ebelik, Diş Hekimliği, Veterinerler, Eczacılık ve Mimarlık Eğitim Programlarının Asgari Eğitim Koşullarının Belirlenmesine dair Yönetmeliği”n 5. maddesi gereği tanımlanan mezuniyet kriterlerinin de tamamlanarak, çağdaş, nitelikli bir ebe olarak yetiştirilmeleri hedeflenmiştir.</w:t>
      </w:r>
    </w:p>
    <w:p w14:paraId="625652AF">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Programın ders planı, ebelik eğitiminin bilimsel, klinik ve toplumsal boyutlarını bütüncül bir yaklaşımla ele alacak şekilde yapılandırılmıştır. Bu kapsamda program; temel ebelik bilimleri, klinik uygulama ağırlıklı dersler, toplum sağlığına yönelik dersler ve seçmeli derslerden oluşan dengeli ve birbirini tamamlayan bir müfredat anlayışıyla tasarlanmıştır. Temel ebelik bilimleri kapsamında yer alan dersler; öğrencilerin anatomi, fizyoloji, embriyoloji, kadın ve yenidoğan sağlığı, üreme sağlığı, ebelik felsefesi ve etik ilkeler gibi alanlarda sağlam bir kuramsal altyapı kazanmalarını amaçlamaktadır. Bu dersler, öğrencilerin mesleki bilgi birikimini güçlendirerek klinik karar verme süreçlerinde bilimsel kanıta dayalı yaklaşım geliştirmelerine katkı sağlamaktadır. Klinik alan dersleri ise gebelik, doğum, doğum sonu dönem, yenidoğan bakımı, riskli gebelikler ve kadın sağlığına ilişkin klinik uygulamaları kapsayacak şekilde planlanmıştır. Bu dersler, öğrencilerin teorik bilgilerini klinik ortamda uygulamaya dönüştürmelerini, bakım becerilerini geliştirmelerini ve profesyonel ebelik rollerini etkin biçimde yerine getirebilmelerini hedeflemektedir. Klinik uygulamalar, laboratuvarla</w:t>
      </w:r>
      <w:r>
        <w:rPr>
          <w:rFonts w:hint="default" w:ascii="Times New Roman" w:hAnsi="Times New Roman" w:eastAsia="Times New Roman" w:cs="Times New Roman"/>
          <w:sz w:val="24"/>
          <w:szCs w:val="24"/>
          <w:lang w:val="tr-TR"/>
        </w:rPr>
        <w:t>r</w:t>
      </w:r>
      <w:r>
        <w:rPr>
          <w:rFonts w:ascii="Times New Roman" w:hAnsi="Times New Roman" w:eastAsia="Times New Roman" w:cs="Times New Roman"/>
          <w:sz w:val="24"/>
          <w:szCs w:val="24"/>
        </w:rPr>
        <w:t xml:space="preserve"> ve saha çalışmaları ile desteklenerek öğrencilerin mesleki yeterliliklerinin artırılması amaçlanmaktadır. Toplum sağlığına yönelik dersler; aile sağlığı, ana-çocuk sağlığı, halk sağlığı, koruyucu sağlık hizmetleri ve dezavantajlı gruplara yönelik bakım yaklaşımlarını içerecek biçimde yapılandırılmıştır. Seçmeli dersler ise öğrencilerin ilgi alanları ve kariyer hedefleri doğrultusunda kendilerini geliştirmelerine olanak tanıyacak şekilde programa entegre edilmiştir. Bu dersler, öğrencilerin akademik, mesleki ve kişisel gelişimlerini destekleyerek yaşam boyu öğrenme bilincinin kazandırılmasına katkı sağlamaktadır.Sonuç olarak ders planı; Yükseköğretim Kurulu düzenlemeleri, Türkiye Yükseköğretim Yeterlilikler Çerçevesi (TYYÇ), ulusal çekirdek ebelik eğitim programları ve ebelik mesleğinin güncel gereksinimleri doğrultusunda, teorik bilgi ile uygulamayı bütünleştiren, öğrenci merkezli ve çağdaş bir eğitim anlayışıyla oluşturulmuştur. </w:t>
      </w:r>
    </w:p>
    <w:p w14:paraId="24AEFCB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Ders bilgi paketlerinde; dersin amacı, öğrenme kazanımları, öğretim yöntemleri, ölçme-değerlendirme yöntemleri ve öğrenci iş yükü bileşenleri açık ve şeffaf biçimde tanımlanmaktadır. Öğrencilerden elde edilen ders değerlendirme anketleri ve geri bildirimler doğrultusunda AKTS iş yükü hesaplamaları düzenli aralıklarla gözden geçirilmekte ve gerektiğinde güncellenmektedir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[OD2]</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Programın izlenmesi ve değerlendirilmesi süreci, kalite güvencesi yaklaşımı çerçevesinde planla–uygula–kontrol et–önlem al (PUKÖ) döngüsü esas alınarak yürütülmektedir. Bu kapsamda ders başarı oranları, ölçme-değerlendirme sonuçları, öğrenci memnuniyet anketleri </w:t>
      </w:r>
      <w:r>
        <w:fldChar w:fldCharType="begin"/>
      </w:r>
      <w:r>
        <w:instrText xml:space="preserve"> HYPERLINK "https://sbfebelik.ksu.edu.tr/depo/belgeler/2024-2025%20%C3%96%C4%9Frenci%20Ders%20%20ve%20%C3%96%C4%9Fretim%20Eleman%C4%B1%20De%C4%9Ferlendirme%20Anket%20Sonu%C3%A7lar%C4%B1_2508261334123582.pdf"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mezun izleme çalışmaları </w:t>
      </w:r>
      <w:r>
        <w:fldChar w:fldCharType="begin"/>
      </w:r>
      <w:r>
        <w:instrText xml:space="preserve"> HYPERLINK "https://obs.ksu.edu.tr/oibs/kariyer/"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elde edilen bulgular programın güçlü ve gelişime açık yönlerinin belirlenmesinde kullanılmaktadır. Programın güncellenmesi sürecinde; sağlık hizmetlerindeki değişen ihtiyaçlar, bilimsel ve teknolojik gelişmeler, Ebelik eğitimi alanındaki ulusal ve uluslararası eğilimler ile akreditasyon ölçütleri dikkate alınmaktadır. </w:t>
      </w:r>
    </w:p>
    <w:p w14:paraId="6822871F">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eğitimi alanındaki ulusal ve uluslararası gelişmeler, güncel mesleki eğilimler ve akreditasyon standartları dikkate alınarak program sürekli olarak gözden geçirilmektedir. Programın güncellenmesine yönelik öneriler, Ebelik Bölüm Kurulları ve ilgili eğitim–öğretim komisyonlarında değerlendirilmekte; alınan kararlar Fakülte Kurulları aracılığıyla uygulamaya aktarılmaktadır. Bu süreçte öğrenciler, mezunlar, klinik saha temsilcileri ve diğer dış paydaşların görüşlerine önem verilmekte; paydaş katılımı, ebelik eğitiminde kalite güvencesi ve sürekli iyileştirme anlayışının temel unsurlarından biri olarak ele alınmaktadır </w:t>
      </w:r>
      <w:r>
        <w:fldChar w:fldCharType="begin"/>
      </w:r>
      <w:r>
        <w:instrText xml:space="preserve"> HYPERLINK "https://sbfebelik.ksu.edu.tr/Default.aspx?DId=100487" \h </w:instrText>
      </w:r>
      <w:r>
        <w:fldChar w:fldCharType="separate"/>
      </w:r>
      <w:r>
        <w:rPr>
          <w:rFonts w:ascii="Times New Roman" w:hAnsi="Times New Roman" w:eastAsia="Times New Roman" w:cs="Times New Roman"/>
          <w:color w:val="1155CC"/>
          <w:sz w:val="24"/>
          <w:szCs w:val="24"/>
          <w:u w:val="single"/>
        </w:rPr>
        <w:t xml:space="preserve">[OD3] </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563C1"/>
          <w:sz w:val="24"/>
          <w:szCs w:val="24"/>
        </w:rPr>
        <w:t>.</w:t>
      </w:r>
      <w:r>
        <w:rPr>
          <w:rFonts w:ascii="Times New Roman" w:hAnsi="Times New Roman" w:eastAsia="Times New Roman" w:cs="Times New Roman"/>
          <w:sz w:val="24"/>
          <w:szCs w:val="24"/>
        </w:rPr>
        <w:t>. Eğitim ve öğretim süreçlerinin yönetimi; akademik kurullar, komisyonlar ve idari birimler arasında tanımlı görev, yetki ve sorumluluklar çerçevesinde yürütülmektedir. Programın tasarımı, uygulanması, izlenmesi ve güncellenmesine yönelik tüm süreçler, ebelik eğitiminin kalite güvencesi anlayışı doğrultusunda düzenli olarak kayıt altına alınmakta ve şeffaflık ilkesi çerçevesinde ilgili iç ve dış paydaşlarla paylaşılmaktadır. Bu yapı aracılığıyla, Ebelik Bölümü lisans programının sürdürülebilirliğinin sağlanması, mezunların mesleki yeterliliklerinin güçlendirilmesi ve eğitim-öğretim kalitesinin sürekli iyileştirilmesi hedeflenmektedir.</w:t>
      </w:r>
      <w:r>
        <w:fldChar w:fldCharType="begin"/>
      </w:r>
      <w:r>
        <w:instrText xml:space="preserve"> HYPERLINK "https://sbfebelik.ksu.edu.tr/Default.aspx?SId=33389" \h </w:instrText>
      </w:r>
      <w:r>
        <w:fldChar w:fldCharType="separate"/>
      </w:r>
      <w:r>
        <w:rPr>
          <w:rFonts w:ascii="Times New Roman" w:hAnsi="Times New Roman" w:eastAsia="Times New Roman" w:cs="Times New Roman"/>
          <w:color w:val="1155CC"/>
          <w:sz w:val="24"/>
          <w:szCs w:val="24"/>
          <w:u w:val="single"/>
        </w:rPr>
        <w:t>[OD2].</w:t>
      </w:r>
      <w:r>
        <w:rPr>
          <w:rFonts w:ascii="Times New Roman" w:hAnsi="Times New Roman" w:eastAsia="Times New Roman" w:cs="Times New Roman"/>
          <w:color w:val="1155CC"/>
          <w:sz w:val="24"/>
          <w:szCs w:val="24"/>
          <w:u w:val="single"/>
        </w:rPr>
        <w:fldChar w:fldCharType="end"/>
      </w:r>
    </w:p>
    <w:p w14:paraId="7D825022">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B.1.2. Programın ders dağılım dengesi</w:t>
      </w:r>
    </w:p>
    <w:p w14:paraId="1169A63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ACE9445">
      <w:pPr>
        <w:spacing w:line="360" w:lineRule="auto"/>
        <w:jc w:val="both"/>
      </w:pPr>
      <w:r>
        <w:rPr>
          <w:rFonts w:ascii="Times New Roman" w:hAnsi="Times New Roman" w:eastAsia="Times New Roman" w:cs="Times New Roman"/>
          <w:sz w:val="24"/>
          <w:szCs w:val="24"/>
        </w:rPr>
        <w:t xml:space="preserve">Kahramanmaraş Sütçü İmam Üniversitesi Sağlık Bilimleri Fakültesi hemşirelik bölümü lisans eğitim programı; hemşireliğin alanı temel kavramsal boyutları olan “insan, sağlık, çevre ve hemşirelik” çerçevesinde oluşturulmuştur. KSÜ Sağlık Bilimleri Fakültesi Hemşirelik Bölümü lisans programında ders dağılımı; hemşirelik eğitiminin amaçları, program çıktıları, Türkiye Yükseköğretim Yeterlilikler Çerçevesi (TYYÇ) ve mesleki yeterlilikler dikkate alınarak dengeli ve bütüncül bir yapı içinde tasarlanmıştır. Programda yer alan dersler; temel alan dersleri, mesleki alan dersleri, klinik ve saha uygulamaları ile seçmeli dersler şeklinde yapılandırılmış olup, öğrencilerin bilgi, beceri ve tutum alanlarında kademeli gelişimini destekleyecek biçimde planlanmıştır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Programın ilk yıllarında öğrencilerin mesleki temellerini güçlendirmek amacıyla temel sağlık bilimleri ve hemşireliğe giriş derslerine ağırlık verilmekte; izleyen sınıf düzeylerinde ise klinik alanlara yönelik kuramsal ve uygulamalı derslerin oranı artırılmaktadır. Bu dikey yapı sayesinde öğrencilerin bilişsel ve psikomotor yeterliliklerinin aşamalı olarak geliştirilmesi hedeflenmektedir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Kuramsal dersler ile uygulamalı ve klinik dersler arasında denge gözetilmekte; uygulama derslerinin toplam ders yükü içerisindeki oranı, öğrencilerin mesleki beceri kazanmalarını destekleyecek şekilde belirlenmektedir. Klinik uygulama dersleri; hastane, aile sağlığı merkezi ve toplum temelli uygulama alanlarını kapsayacak biçimde çeşitlendirilmiş olup, öğrencilerin farklı bakım ortamlarında deneyim kazanmaları sağlanmaktadır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321AD97C">
      <w:pPr>
        <w:jc w:val="both"/>
      </w:pPr>
      <w:r>
        <w:rPr>
          <w:rFonts w:ascii="Times New Roman" w:hAnsi="Times New Roman" w:eastAsia="Times New Roman" w:cs="Times New Roman"/>
          <w:b/>
          <w:bCs/>
          <w:sz w:val="24"/>
          <w:szCs w:val="24"/>
        </w:rPr>
        <w:t xml:space="preserve">Zorunlu-Mesleki dersler </w:t>
      </w:r>
    </w:p>
    <w:p w14:paraId="4B162949">
      <w:pPr>
        <w:jc w:val="both"/>
      </w:pPr>
      <w:r>
        <w:rPr>
          <w:rFonts w:ascii="Times New Roman" w:hAnsi="Times New Roman" w:eastAsia="Times New Roman" w:cs="Times New Roman"/>
          <w:sz w:val="24"/>
          <w:szCs w:val="24"/>
        </w:rPr>
        <w:t xml:space="preserve">-Hemşireliğe Giriş ve Uygulamalar </w:t>
      </w:r>
    </w:p>
    <w:p w14:paraId="2C3ABB0D">
      <w:pPr>
        <w:jc w:val="both"/>
      </w:pPr>
      <w:r>
        <w:rPr>
          <w:rFonts w:ascii="Times New Roman" w:hAnsi="Times New Roman" w:eastAsia="Times New Roman" w:cs="Times New Roman"/>
          <w:sz w:val="24"/>
          <w:szCs w:val="24"/>
        </w:rPr>
        <w:t>-Hemşirelik Esasları</w:t>
      </w:r>
    </w:p>
    <w:p w14:paraId="642699EB">
      <w:pPr>
        <w:jc w:val="both"/>
      </w:pPr>
      <w:r>
        <w:rPr>
          <w:rFonts w:ascii="Times New Roman" w:hAnsi="Times New Roman" w:eastAsia="Times New Roman" w:cs="Times New Roman"/>
          <w:sz w:val="24"/>
          <w:szCs w:val="24"/>
        </w:rPr>
        <w:t>-Hemşirelik Esasları Uygulamaları</w:t>
      </w:r>
    </w:p>
    <w:p w14:paraId="37EBAF0D">
      <w:pPr>
        <w:jc w:val="both"/>
      </w:pPr>
      <w:r>
        <w:rPr>
          <w:rFonts w:ascii="Times New Roman" w:hAnsi="Times New Roman" w:eastAsia="Times New Roman" w:cs="Times New Roman"/>
          <w:sz w:val="24"/>
          <w:szCs w:val="24"/>
        </w:rPr>
        <w:t>-Hemşirelik Uygulamaları Yaz Stajı I</w:t>
      </w:r>
    </w:p>
    <w:p w14:paraId="67A76807">
      <w:pPr>
        <w:jc w:val="both"/>
      </w:pPr>
      <w:r>
        <w:rPr>
          <w:rFonts w:ascii="Times New Roman" w:hAnsi="Times New Roman" w:eastAsia="Times New Roman" w:cs="Times New Roman"/>
          <w:sz w:val="24"/>
          <w:szCs w:val="24"/>
        </w:rPr>
        <w:t>-Mesleki İletişim Becerileri</w:t>
      </w:r>
    </w:p>
    <w:p w14:paraId="1C4EBA5F">
      <w:pPr>
        <w:jc w:val="both"/>
      </w:pPr>
      <w:r>
        <w:rPr>
          <w:rFonts w:ascii="Times New Roman" w:hAnsi="Times New Roman" w:eastAsia="Times New Roman" w:cs="Times New Roman"/>
          <w:sz w:val="24"/>
          <w:szCs w:val="24"/>
        </w:rPr>
        <w:t>-İç Hastalıkları Hemşireliği</w:t>
      </w:r>
    </w:p>
    <w:p w14:paraId="1350A296">
      <w:pPr>
        <w:jc w:val="both"/>
      </w:pPr>
      <w:r>
        <w:rPr>
          <w:rFonts w:ascii="Times New Roman" w:hAnsi="Times New Roman" w:eastAsia="Times New Roman" w:cs="Times New Roman"/>
          <w:sz w:val="24"/>
          <w:szCs w:val="24"/>
        </w:rPr>
        <w:t>-İç Hastalıkları Hemşireliği Uygulama</w:t>
      </w:r>
    </w:p>
    <w:p w14:paraId="177A0054">
      <w:pPr>
        <w:jc w:val="both"/>
      </w:pPr>
      <w:r>
        <w:rPr>
          <w:rFonts w:ascii="Times New Roman" w:hAnsi="Times New Roman" w:eastAsia="Times New Roman" w:cs="Times New Roman"/>
          <w:sz w:val="24"/>
          <w:szCs w:val="24"/>
        </w:rPr>
        <w:t>-Sağlık Sosyolojisi ve Antropolojisi</w:t>
      </w:r>
    </w:p>
    <w:p w14:paraId="3E6B53F5">
      <w:pPr>
        <w:jc w:val="both"/>
      </w:pPr>
      <w:r>
        <w:rPr>
          <w:rFonts w:ascii="Times New Roman" w:hAnsi="Times New Roman" w:eastAsia="Times New Roman" w:cs="Times New Roman"/>
          <w:sz w:val="24"/>
          <w:szCs w:val="24"/>
        </w:rPr>
        <w:t>-Cerrahi Hastalıklar Hemşireliği</w:t>
      </w:r>
    </w:p>
    <w:p w14:paraId="3680B5BF">
      <w:pPr>
        <w:jc w:val="both"/>
      </w:pPr>
      <w:r>
        <w:rPr>
          <w:rFonts w:ascii="Times New Roman" w:hAnsi="Times New Roman" w:eastAsia="Times New Roman" w:cs="Times New Roman"/>
          <w:sz w:val="24"/>
          <w:szCs w:val="24"/>
        </w:rPr>
        <w:t>-Cerrahi Hastalıklar Hemşireliği Uygulama</w:t>
      </w:r>
    </w:p>
    <w:p w14:paraId="02C92EC4">
      <w:pPr>
        <w:jc w:val="both"/>
      </w:pPr>
      <w:r>
        <w:rPr>
          <w:rFonts w:ascii="Times New Roman" w:hAnsi="Times New Roman" w:eastAsia="Times New Roman" w:cs="Times New Roman"/>
          <w:sz w:val="24"/>
          <w:szCs w:val="24"/>
        </w:rPr>
        <w:t>-Epidemiyoloji</w:t>
      </w:r>
    </w:p>
    <w:p w14:paraId="7B13C887">
      <w:pPr>
        <w:jc w:val="both"/>
      </w:pPr>
      <w:r>
        <w:rPr>
          <w:rFonts w:ascii="Times New Roman" w:hAnsi="Times New Roman" w:eastAsia="Times New Roman" w:cs="Times New Roman"/>
          <w:sz w:val="24"/>
          <w:szCs w:val="24"/>
        </w:rPr>
        <w:t>-Genel Beslenme</w:t>
      </w:r>
    </w:p>
    <w:p w14:paraId="4100CD25">
      <w:pPr>
        <w:jc w:val="both"/>
      </w:pPr>
      <w:r>
        <w:rPr>
          <w:rFonts w:ascii="Times New Roman" w:hAnsi="Times New Roman" w:eastAsia="Times New Roman" w:cs="Times New Roman"/>
          <w:sz w:val="24"/>
          <w:szCs w:val="24"/>
        </w:rPr>
        <w:t>-Doğum Kadın Sağlığı ve Hastalık. Hemşi.</w:t>
      </w:r>
    </w:p>
    <w:p w14:paraId="56CAD6C9">
      <w:pPr>
        <w:jc w:val="both"/>
      </w:pPr>
      <w:r>
        <w:rPr>
          <w:rFonts w:ascii="Times New Roman" w:hAnsi="Times New Roman" w:eastAsia="Times New Roman" w:cs="Times New Roman"/>
          <w:sz w:val="24"/>
          <w:szCs w:val="24"/>
        </w:rPr>
        <w:t>-Doğum Kadın Sağlığı ve Hasta. Hem.Uyg.</w:t>
      </w:r>
    </w:p>
    <w:p w14:paraId="3E9ECEC3">
      <w:pPr>
        <w:jc w:val="both"/>
      </w:pPr>
      <w:r>
        <w:rPr>
          <w:rFonts w:ascii="Times New Roman" w:hAnsi="Times New Roman" w:eastAsia="Times New Roman" w:cs="Times New Roman"/>
          <w:sz w:val="24"/>
          <w:szCs w:val="24"/>
        </w:rPr>
        <w:t>-Sağlık Politikaları ve Sağ. Gelişimi</w:t>
      </w:r>
    </w:p>
    <w:p w14:paraId="6D6EDE56">
      <w:pPr>
        <w:jc w:val="both"/>
      </w:pPr>
      <w:r>
        <w:rPr>
          <w:rFonts w:ascii="Times New Roman" w:hAnsi="Times New Roman" w:eastAsia="Times New Roman" w:cs="Times New Roman"/>
          <w:sz w:val="24"/>
          <w:szCs w:val="24"/>
        </w:rPr>
        <w:t>-Hemşirelikte Öğretim</w:t>
      </w:r>
    </w:p>
    <w:p w14:paraId="51547EBB">
      <w:pPr>
        <w:jc w:val="both"/>
      </w:pPr>
      <w:r>
        <w:rPr>
          <w:rFonts w:ascii="Times New Roman" w:hAnsi="Times New Roman" w:eastAsia="Times New Roman" w:cs="Times New Roman"/>
          <w:sz w:val="24"/>
          <w:szCs w:val="24"/>
        </w:rPr>
        <w:t>-Hemşirelik Tarihi ve Deontolojisi</w:t>
      </w:r>
    </w:p>
    <w:p w14:paraId="318E9E95">
      <w:pPr>
        <w:jc w:val="both"/>
      </w:pPr>
      <w:r>
        <w:rPr>
          <w:rFonts w:ascii="Times New Roman" w:hAnsi="Times New Roman" w:eastAsia="Times New Roman" w:cs="Times New Roman"/>
          <w:sz w:val="24"/>
          <w:szCs w:val="24"/>
        </w:rPr>
        <w:t>-Çocuk Sağlığı ve Hastalıkları Hemşireliği</w:t>
      </w:r>
    </w:p>
    <w:p w14:paraId="47667B04">
      <w:pPr>
        <w:jc w:val="both"/>
      </w:pPr>
      <w:r>
        <w:rPr>
          <w:rFonts w:ascii="Times New Roman" w:hAnsi="Times New Roman" w:eastAsia="Times New Roman" w:cs="Times New Roman"/>
          <w:sz w:val="24"/>
          <w:szCs w:val="24"/>
        </w:rPr>
        <w:t>-Çocuk Sağlığı ve Hastalıkları Hemşireliği Uygulama</w:t>
      </w:r>
    </w:p>
    <w:p w14:paraId="418A2DD5">
      <w:pPr>
        <w:jc w:val="both"/>
      </w:pPr>
      <w:r>
        <w:rPr>
          <w:rFonts w:ascii="Times New Roman" w:hAnsi="Times New Roman" w:eastAsia="Times New Roman" w:cs="Times New Roman"/>
          <w:sz w:val="24"/>
          <w:szCs w:val="24"/>
        </w:rPr>
        <w:t>-Hemşirelikte Araştırma Yöntemleri</w:t>
      </w:r>
    </w:p>
    <w:p w14:paraId="6D0D1500">
      <w:pPr>
        <w:jc w:val="both"/>
      </w:pPr>
      <w:r>
        <w:rPr>
          <w:rFonts w:ascii="Times New Roman" w:hAnsi="Times New Roman" w:eastAsia="Times New Roman" w:cs="Times New Roman"/>
          <w:sz w:val="24"/>
          <w:szCs w:val="24"/>
        </w:rPr>
        <w:t>-Hemşirelikte Yönetim</w:t>
      </w:r>
    </w:p>
    <w:p w14:paraId="29EB8BED">
      <w:pPr>
        <w:jc w:val="both"/>
      </w:pPr>
      <w:r>
        <w:rPr>
          <w:rFonts w:ascii="Times New Roman" w:hAnsi="Times New Roman" w:eastAsia="Times New Roman" w:cs="Times New Roman"/>
          <w:sz w:val="24"/>
          <w:szCs w:val="24"/>
        </w:rPr>
        <w:t>-Afetlerde Hemşirelik ve İlk Yardım</w:t>
      </w:r>
    </w:p>
    <w:p w14:paraId="4C63BE5E">
      <w:pPr>
        <w:jc w:val="both"/>
      </w:pPr>
      <w:r>
        <w:rPr>
          <w:rFonts w:ascii="Times New Roman" w:hAnsi="Times New Roman" w:eastAsia="Times New Roman" w:cs="Times New Roman"/>
          <w:sz w:val="24"/>
          <w:szCs w:val="24"/>
        </w:rPr>
        <w:t>-Ruh Sağlığı ve Hastalıkları Hemşireliği</w:t>
      </w:r>
    </w:p>
    <w:p w14:paraId="298AE9A0">
      <w:pPr>
        <w:jc w:val="both"/>
      </w:pPr>
      <w:r>
        <w:rPr>
          <w:rFonts w:ascii="Times New Roman" w:hAnsi="Times New Roman" w:eastAsia="Times New Roman" w:cs="Times New Roman"/>
          <w:sz w:val="24"/>
          <w:szCs w:val="24"/>
        </w:rPr>
        <w:t>-Ruh Sağlığı ve Hastalıkları Hemşireliği Uyg.</w:t>
      </w:r>
    </w:p>
    <w:p w14:paraId="513171EC">
      <w:pPr>
        <w:jc w:val="both"/>
      </w:pPr>
      <w:r>
        <w:rPr>
          <w:rFonts w:ascii="Times New Roman" w:hAnsi="Times New Roman" w:eastAsia="Times New Roman" w:cs="Times New Roman"/>
          <w:sz w:val="24"/>
          <w:szCs w:val="24"/>
        </w:rPr>
        <w:t>-Hemşirelik Uygulamaları I</w:t>
      </w:r>
    </w:p>
    <w:p w14:paraId="70EC398E">
      <w:pPr>
        <w:jc w:val="both"/>
      </w:pPr>
      <w:r>
        <w:rPr>
          <w:rFonts w:ascii="Times New Roman" w:hAnsi="Times New Roman" w:eastAsia="Times New Roman" w:cs="Times New Roman"/>
          <w:sz w:val="24"/>
          <w:szCs w:val="24"/>
        </w:rPr>
        <w:t>-Halk Sağlığı Hemşireliği</w:t>
      </w:r>
    </w:p>
    <w:p w14:paraId="31690016">
      <w:pPr>
        <w:jc w:val="both"/>
      </w:pPr>
      <w:r>
        <w:rPr>
          <w:rFonts w:ascii="Times New Roman" w:hAnsi="Times New Roman" w:eastAsia="Times New Roman" w:cs="Times New Roman"/>
          <w:sz w:val="24"/>
          <w:szCs w:val="24"/>
        </w:rPr>
        <w:t>-Halk Sağlığı Hemşireliği Uyg.</w:t>
      </w:r>
    </w:p>
    <w:p w14:paraId="24351D71">
      <w:pPr>
        <w:jc w:val="both"/>
      </w:pPr>
      <w:r>
        <w:rPr>
          <w:rFonts w:ascii="Times New Roman" w:hAnsi="Times New Roman" w:eastAsia="Times New Roman" w:cs="Times New Roman"/>
          <w:sz w:val="24"/>
          <w:szCs w:val="24"/>
        </w:rPr>
        <w:t>-Hemşirelik Uygulamaları Il</w:t>
      </w:r>
    </w:p>
    <w:p w14:paraId="24B73C8A">
      <w:pPr>
        <w:jc w:val="both"/>
      </w:pPr>
      <w:r>
        <w:rPr>
          <w:rFonts w:ascii="Times New Roman" w:hAnsi="Times New Roman" w:eastAsia="Times New Roman" w:cs="Times New Roman"/>
          <w:b/>
          <w:bCs/>
          <w:sz w:val="24"/>
          <w:szCs w:val="24"/>
        </w:rPr>
        <w:t xml:space="preserve">Temel Bilimler Dersleri </w:t>
      </w:r>
    </w:p>
    <w:p w14:paraId="249A2E5C">
      <w:pPr>
        <w:jc w:val="both"/>
      </w:pPr>
      <w:r>
        <w:rPr>
          <w:rFonts w:ascii="Times New Roman" w:hAnsi="Times New Roman" w:eastAsia="Times New Roman" w:cs="Times New Roman"/>
          <w:sz w:val="24"/>
          <w:szCs w:val="24"/>
        </w:rPr>
        <w:t xml:space="preserve">- Anatomi </w:t>
      </w:r>
    </w:p>
    <w:p w14:paraId="49F14A0D">
      <w:pPr>
        <w:jc w:val="both"/>
      </w:pPr>
      <w:r>
        <w:rPr>
          <w:rFonts w:ascii="Times New Roman" w:hAnsi="Times New Roman" w:eastAsia="Times New Roman" w:cs="Times New Roman"/>
          <w:sz w:val="24"/>
          <w:szCs w:val="24"/>
        </w:rPr>
        <w:t>-Mikrobiyoloji Ve Parazitoloji</w:t>
      </w:r>
    </w:p>
    <w:p w14:paraId="48B2AB44">
      <w:pPr>
        <w:jc w:val="both"/>
      </w:pPr>
      <w:r>
        <w:rPr>
          <w:rFonts w:ascii="Times New Roman" w:hAnsi="Times New Roman" w:eastAsia="Times New Roman" w:cs="Times New Roman"/>
          <w:sz w:val="24"/>
          <w:szCs w:val="24"/>
        </w:rPr>
        <w:t>-Psikoloji</w:t>
      </w:r>
    </w:p>
    <w:p w14:paraId="096121AE">
      <w:pPr>
        <w:jc w:val="both"/>
      </w:pPr>
      <w:r>
        <w:rPr>
          <w:rFonts w:ascii="Times New Roman" w:hAnsi="Times New Roman" w:eastAsia="Times New Roman" w:cs="Times New Roman"/>
          <w:sz w:val="24"/>
          <w:szCs w:val="24"/>
        </w:rPr>
        <w:t xml:space="preserve">- Fizyoloji </w:t>
      </w:r>
    </w:p>
    <w:p w14:paraId="6E55B8BF">
      <w:pPr>
        <w:jc w:val="both"/>
      </w:pPr>
      <w:r>
        <w:rPr>
          <w:rFonts w:ascii="Times New Roman" w:hAnsi="Times New Roman" w:eastAsia="Times New Roman" w:cs="Times New Roman"/>
          <w:sz w:val="24"/>
          <w:szCs w:val="24"/>
        </w:rPr>
        <w:t>-Biyokimya</w:t>
      </w:r>
    </w:p>
    <w:p w14:paraId="699D5B7D">
      <w:pPr>
        <w:jc w:val="both"/>
      </w:pPr>
      <w:r>
        <w:rPr>
          <w:rFonts w:ascii="Times New Roman" w:hAnsi="Times New Roman" w:eastAsia="Times New Roman" w:cs="Times New Roman"/>
          <w:sz w:val="24"/>
          <w:szCs w:val="24"/>
        </w:rPr>
        <w:t>-Histoloji Ve Embriyoloji</w:t>
      </w:r>
    </w:p>
    <w:p w14:paraId="54CBBE06">
      <w:pPr>
        <w:jc w:val="both"/>
      </w:pPr>
      <w:r>
        <w:rPr>
          <w:rFonts w:ascii="Times New Roman" w:hAnsi="Times New Roman" w:eastAsia="Times New Roman" w:cs="Times New Roman"/>
          <w:sz w:val="24"/>
          <w:szCs w:val="24"/>
        </w:rPr>
        <w:t>- Farmakoloji</w:t>
      </w:r>
    </w:p>
    <w:p w14:paraId="2745D070">
      <w:pPr>
        <w:jc w:val="both"/>
      </w:pPr>
      <w:r>
        <w:rPr>
          <w:rFonts w:ascii="Times New Roman" w:hAnsi="Times New Roman" w:eastAsia="Times New Roman" w:cs="Times New Roman"/>
          <w:b/>
          <w:bCs/>
          <w:sz w:val="24"/>
          <w:szCs w:val="24"/>
        </w:rPr>
        <w:t xml:space="preserve">Ortak Zorunlu dersler </w:t>
      </w:r>
    </w:p>
    <w:p w14:paraId="3C5A0D83">
      <w:pPr>
        <w:jc w:val="both"/>
      </w:pPr>
      <w:r>
        <w:rPr>
          <w:rFonts w:ascii="Times New Roman" w:hAnsi="Times New Roman" w:eastAsia="Times New Roman" w:cs="Times New Roman"/>
          <w:sz w:val="24"/>
          <w:szCs w:val="24"/>
        </w:rPr>
        <w:t xml:space="preserve">- Atatürk İlkeleri ve İnkılap Tarihi </w:t>
      </w:r>
    </w:p>
    <w:p w14:paraId="65C5369A">
      <w:pPr>
        <w:jc w:val="both"/>
      </w:pPr>
      <w:r>
        <w:rPr>
          <w:rFonts w:ascii="Times New Roman" w:hAnsi="Times New Roman" w:eastAsia="Times New Roman" w:cs="Times New Roman"/>
          <w:sz w:val="24"/>
          <w:szCs w:val="24"/>
        </w:rPr>
        <w:t xml:space="preserve">- Türk Dili </w:t>
      </w:r>
    </w:p>
    <w:p w14:paraId="59CC8DE2">
      <w:pPr>
        <w:jc w:val="both"/>
      </w:pPr>
      <w:r>
        <w:rPr>
          <w:rFonts w:ascii="Times New Roman" w:hAnsi="Times New Roman" w:eastAsia="Times New Roman" w:cs="Times New Roman"/>
          <w:sz w:val="24"/>
          <w:szCs w:val="24"/>
        </w:rPr>
        <w:t xml:space="preserve">- Yabancı Dil </w:t>
      </w:r>
    </w:p>
    <w:p w14:paraId="176BEC13">
      <w:pPr>
        <w:spacing w:line="360" w:lineRule="auto"/>
        <w:jc w:val="both"/>
      </w:pPr>
      <w:r>
        <w:rPr>
          <w:rFonts w:ascii="Times New Roman" w:hAnsi="Times New Roman" w:eastAsia="Times New Roman" w:cs="Times New Roman"/>
          <w:sz w:val="24"/>
          <w:szCs w:val="24"/>
        </w:rPr>
        <w:t xml:space="preserve">Programda yer alan seçmeli dersler; öğrencilerin ilgi alanları, kariyer hedefleri ve bireysel gelişimlerini destekleyecek şekilde planlanmıştır. Seçmeli ders havuzu; mesleki gelişim, etik, araştırma, toplum sağlığı ve güncel sağlık sorunları gibi alanları kapsamakta olup, öğrencilerin program çıktılarının ötesinde yetkinlikler kazanmalarına olanak tanımaktadır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Derslerin kredi ve AKTS dağılımı, öğrenci iş yükü esas alınarak belirlenmekte ve program genelinde dengeli bir yapı oluşturulmaktadır. Her yarıyılda öğrencilerin akademik yüklerinin eşit dağılması gözetilmekte; aşırı yoğunluk ya da yetersiz yük oluşmasını önlemeye yönelik düzenli izleme çalışmaları yapılmaktadır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 xml:space="preserve"> </w:t>
      </w:r>
      <w:r>
        <w:fldChar w:fldCharType="begin"/>
      </w:r>
      <w:r>
        <w:instrText xml:space="preserve"> HYPERLINK "https://euc-word-edit.officeapps.live.com/we/%5bOD3%5d%20%5bOD3%5d"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xml:space="preserve"> Programın ders dağılım dengesi; ders değerlendirme anketleri, öğrenci ve mezun geri bildirimleri, öğretim elemanı görüşleri ve dış paydaş katkıları doğrultusunda düzenli olarak izlenmekte ve değerlendirilmektedir </w:t>
      </w:r>
      <w:r>
        <w:fldChar w:fldCharType="begin"/>
      </w:r>
      <w:r>
        <w:instrText xml:space="preserve"> HYPERLINK "https://docs.google.com/document/d/1LyB9iuCp5nlSeIJQm_vzH0KD6bm08V9t/edit?usp=sharing&amp;ouid=107622420892877711975&amp;rtpof=true&amp;sd=true"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"https://docs.google.com/document/d/13xvjYsR79qp_mHHUxEHCXLz2Q3Oy_7t4/edit?usp=sharing&amp;ouid=107622420892877711975&amp;rtpof=true&amp;sd=true"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 xml:space="preserve"> </w:t>
      </w:r>
      <w:r>
        <w:fldChar w:fldCharType="begin"/>
      </w:r>
      <w:r>
        <w:instrText xml:space="preserve"> HYPERLINK "https://docs.google.com/document/d/1paP0TbTrQU2whtY4XLP7E8o70pFHJ6as/edit" \l "heading=h.1gjsfd3ljksb"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"https://docs.google.com/document/d/1bb7F0rUfOpw-BigWCPwfuN2I9sJReOAr/edit?usp=sharing&amp;ouid=107622420892877711975&amp;rtpof=true&amp;sd=true"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Elde edilen bulgular, programın güçlü yönlerinin korunması ve geliştirilmesi gereken alanların iyileştirilmesi amacıyla kullanılmakta; gerekli durumlarda ders planında ve uygulama saatlerinde güncellemeler yapılmaktadır. Sonuç olarak Hemşirelik Bölümü lisans programında ders dağılımı; kuramsal bilgi ile uygulama bütünlüğünü gözeten, öğrenci merkezli ve mesleki yeterlilikleri destekleyen dengeli bir yapı içinde sürdürülmekte; sürekli izleme ve iyileştirme mekanizmaları ile güncel tutulmaktadır </w:t>
      </w:r>
      <w:r>
        <w:fldChar w:fldCharType="begin"/>
      </w:r>
      <w:r>
        <w:instrText xml:space="preserve"> HYPERLINK "https://drive.google.com/file/d/1n9Sc5fd79z-iKHh3_qfZSnlwieOlFP6A/view?usp=sharing"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1D195BA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0B113C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Fizyoterapi ve Rehabilitasyon Bölümü’nde öğrenci ders dağılımına ilişkin standart ilke ve kurallar bulunmaktadır. Öğrencilerin bölüm müfredatlarında Bologna sürecine uygun olarak mezun olabilmesi için en az 2.00 not ortalaması ile; 180 AKTS (%75) zorunlu ve 60 AKTS (%25) seçmeli dersler olmak üzere, 240 AKTS ders yükünü tamamlaması gerekmektedir. Bu kapsamda her eğitim öğretim yarıyılında öğrencilerin toplamda en az 30 AKTS seçmeli ve zorunlu ders alması danışman öğretim elemanları tarafından OBS sistemi üzerinden takip edilmektedir. Bu süreçte tanımlanan yönerge ve yönetmelikler Kahramanmaraş Sütçü İmam Üniversitesi web sayfasında ve Sağlık Bilimleri Fakültesi web sayfasında duyurulmuştur </w:t>
      </w:r>
      <w:r>
        <w:fldChar w:fldCharType="begin"/>
      </w:r>
      <w:r>
        <w:instrText xml:space="preserve"> HYPERLINK "https://oidb.ksu.edu.tr/Default.aspx?SId=9572"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Danışman öğretim elemanı bu yönerge ve yönetmelikler doğrultusunda öğrencilerini OBS sistemi üzerinde takip etmektedir </w:t>
      </w:r>
      <w:r>
        <w:fldChar w:fldCharType="begin"/>
      </w:r>
      <w:r>
        <w:instrText xml:space="preserve"> HYPERLINK "https://saglik.ksu.edu.tr/"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Ders sayısı ve haftalık ders saati öğrencinin akademik olmayan etkinliklere de zaman ayırabileceği şekilde düzenlenmektedir </w:t>
      </w:r>
      <w:r>
        <w:fldChar w:fldCharType="begin"/>
      </w:r>
      <w:r>
        <w:instrText xml:space="preserve"> HYPERLINK "https://sbfftr.ksu.edu.tr/Default.aspx?SId=33653"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Ancak bölüm bünyesinde bunun için belirlenmiş bir standardizasyon, izlem ve iyileştirme politikası bulunmamaktadır.</w:t>
      </w:r>
    </w:p>
    <w:p w14:paraId="70DEC653">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3CDBCD1E">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Kahramanmaraş Sütçü İmam Üniversitesi Sağlık Bilimleri Fakültesi Ebelik Bölümü lisans eğitim programı; ebelik disiplininin temel kavramsal boyutları olan insan, sağlık, çevre ve ebelik çerçevesinde yapılandırılmıştır. Programın ders dağılımı, ebelik eğitiminin amaçları ve program çıktıları, Türkiye Yükseköğretim Yeterlilikler Çerçevesi (TYYÇ) ile ulusal ve uluslararası mesleki yeterlilikler dikkate alınarak, teorik ve uygulamalı eğitimi bütünleştiren dengeli ve bütüncül bir yapı içerisinde tasarlanmıştır.</w:t>
      </w:r>
    </w:p>
    <w:p w14:paraId="5758C5F9">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 doğrultuda Kahramanmaraş Sütçü İmam Üniversitesi Sağlık Bilimleri Fakültesi Ebelik Bölümü lisans programı; öğrencilerin mesleki bilgi, beceri ve tutumlarını geliştirmeyi, kanıta dayalı ebelik uygulamalarını benimsemelerini sağlamayı ve toplumun anne–çocuk sağlığı gereksinimlerine duyarlı, etik ilkelere bağlı ve mesleki yetkinliği yüksek ebeler olarak yetişmelerini hedeflemektedir. Programda yer alan dersler; temel alan dersleri, mesleki alan dersleri, klinik ve saha uygulamaları ile seçmeli dersler şeklinde yapılandırılmış olup, öğrencilerin bilgi, beceri ve tutum alanlarında kademeli gelişimini destekleyecek biçimde planlanmıştır </w:t>
      </w:r>
      <w:r>
        <w:fldChar w:fldCharType="begin"/>
      </w:r>
      <w:r>
        <w:instrText xml:space="preserve"> HYPERLINK "https://sbfebelik.ksu.edu.tr/default.aspx?DId=101503"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Programın ilk yıllarında, öğrencilerinin mesleki temellerini güçlendirmek amacıyla </w:t>
      </w:r>
      <w:r>
        <w:rPr>
          <w:rFonts w:ascii="Times New Roman" w:hAnsi="Times New Roman" w:eastAsia="Times New Roman" w:cs="Times New Roman"/>
          <w:b/>
          <w:bCs/>
          <w:sz w:val="24"/>
          <w:szCs w:val="24"/>
        </w:rPr>
        <w:t>te</w:t>
      </w:r>
      <w:r>
        <w:rPr>
          <w:rFonts w:ascii="Times New Roman" w:hAnsi="Times New Roman" w:eastAsia="Times New Roman" w:cs="Times New Roman"/>
          <w:sz w:val="24"/>
          <w:szCs w:val="24"/>
        </w:rPr>
        <w:t xml:space="preserve">mel sağlık bilimleri, ebelik mesleğine giriş ve temel kavramlar derslerine ağırlık verilmekte; izleyen sınıf düzeylerinde ise gebelik, doğum, doğum sonu dönem ve yenidoğan bakımını kapsayan klinik alanlara yönelik kuramsal ve uygulamalı derslerin oranı artırılmaktadır. Bu dikey ve aşamalı yapı sayesinde öğrencilerin bilişsel, psikomotor ve mesleki yeterliliklerinin sistematik biçimde geliştirilmesi hedeflenmektedir </w:t>
      </w:r>
      <w:r>
        <w:fldChar w:fldCharType="begin"/>
      </w:r>
      <w:r>
        <w:instrText xml:space="preserve"> HYPERLINK "https://sbfebelik.ksu.edu.tr/default.aspx?DId=101503"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Kuramsal dersler ile uygulamalı ve klinik dersler arasında denge gözetilmekte; uygulama derslerinin toplam ders yükü içerisindeki oranı, öğrencilerin mesleki beceri kazanmalarını destekleyecek şekilde belirlenmektedir.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23BECC76">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Zorunlu-Mesleki dersler </w:t>
      </w:r>
    </w:p>
    <w:p w14:paraId="69B6801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b/>
          <w:bCs/>
          <w:sz w:val="24"/>
          <w:szCs w:val="24"/>
        </w:rPr>
      </w:pPr>
    </w:p>
    <w:p w14:paraId="195BE4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Ebeliğe Giriş ve Temel Kavramlar</w:t>
      </w:r>
    </w:p>
    <w:p w14:paraId="75603B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Temel İlke ve Uygulamalar I</w:t>
      </w:r>
    </w:p>
    <w:p w14:paraId="07D5A7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Temel İlke ve Uygulamalar II</w:t>
      </w:r>
    </w:p>
    <w:p w14:paraId="2A9A36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Normal Gebelik ve Bakım</w:t>
      </w:r>
    </w:p>
    <w:p w14:paraId="791A6F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Yenidoğan Sağlığı ve Hastalıkları</w:t>
      </w:r>
    </w:p>
    <w:p w14:paraId="06288C4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Normal Doğum ve Doğum Sonrası Dönem</w:t>
      </w:r>
    </w:p>
    <w:p w14:paraId="5C9A8C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Kadın Sağlığı ve Hastalıkları Bilgisi</w:t>
      </w:r>
    </w:p>
    <w:p w14:paraId="2FFED6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Çocuk Sağlığı ve Hastalıkları</w:t>
      </w:r>
    </w:p>
    <w:p w14:paraId="5E7251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 Tarihi ve Deontolojisi</w:t>
      </w:r>
    </w:p>
    <w:p w14:paraId="62A8B4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Riskli Gebelik ve Bakım Dersi</w:t>
      </w:r>
    </w:p>
    <w:p w14:paraId="7D1EB0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Riskli Doğum ve Doğum Sonrası Dönem</w:t>
      </w:r>
    </w:p>
    <w:p w14:paraId="1D6C0E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Üreme Sağlığı ve Aile Planlaması</w:t>
      </w:r>
    </w:p>
    <w:p w14:paraId="558551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İlk Yardım</w:t>
      </w:r>
    </w:p>
    <w:p w14:paraId="7687CB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Büyüme ve Gelişme</w:t>
      </w:r>
    </w:p>
    <w:p w14:paraId="52A4D70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Bilimsel Araştırma Yöntemleri</w:t>
      </w:r>
    </w:p>
    <w:p w14:paraId="18DAA1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Doğum Bilgisi Yaz Stajı</w:t>
      </w:r>
    </w:p>
    <w:p w14:paraId="166A0A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Yönetim</w:t>
      </w:r>
    </w:p>
    <w:p w14:paraId="7D19AF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Temel Sağlık Hizmetleri</w:t>
      </w:r>
    </w:p>
    <w:p w14:paraId="5D6E633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Ruh Sağlığı</w:t>
      </w:r>
    </w:p>
    <w:p w14:paraId="6EE12B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Ebelikte Öğretim</w:t>
      </w:r>
    </w:p>
    <w:p w14:paraId="4F46AE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İntörnlük Programı</w:t>
      </w:r>
    </w:p>
    <w:p w14:paraId="65AD68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Seminer</w:t>
      </w:r>
    </w:p>
    <w:p w14:paraId="4889627E">
      <w:pPr>
        <w:keepNext w:val="0"/>
        <w:keepLines w:val="0"/>
        <w:pageBreakBefore w:val="0"/>
        <w:widowControl w:val="0"/>
        <w:kinsoku/>
        <w:wordWrap/>
        <w:overflowPunct/>
        <w:topLinePunct w:val="0"/>
        <w:autoSpaceDE/>
        <w:autoSpaceDN/>
        <w:bidi w:val="0"/>
        <w:adjustRightInd/>
        <w:snapToGrid/>
        <w:spacing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Temel Bilimler Dersleri </w:t>
      </w:r>
    </w:p>
    <w:p w14:paraId="59946A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Anatomi </w:t>
      </w:r>
    </w:p>
    <w:p w14:paraId="2DB8D64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Mikrobiyoloji Ve Parazitoloji</w:t>
      </w:r>
    </w:p>
    <w:p w14:paraId="270104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Psikoloji</w:t>
      </w:r>
    </w:p>
    <w:p w14:paraId="6D0A673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Fizyoloji </w:t>
      </w:r>
    </w:p>
    <w:p w14:paraId="4326E1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Biyokimya</w:t>
      </w:r>
    </w:p>
    <w:p w14:paraId="45B81F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Histoloji Ve Embriyoloji</w:t>
      </w:r>
    </w:p>
    <w:p w14:paraId="43A87EC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Farmakoloji</w:t>
      </w:r>
    </w:p>
    <w:p w14:paraId="321425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Patoloji </w:t>
      </w:r>
    </w:p>
    <w:p w14:paraId="49E058F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Ortak Zorunlu dersler </w:t>
      </w:r>
    </w:p>
    <w:p w14:paraId="3EC20BF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Atatürk İlkeleri ve İnkılap Tarihi </w:t>
      </w:r>
    </w:p>
    <w:p w14:paraId="3551F5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Türk Dili </w:t>
      </w:r>
    </w:p>
    <w:p w14:paraId="245053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Yabancı Dil </w:t>
      </w:r>
    </w:p>
    <w:p w14:paraId="15FD4B6A">
      <w:pPr>
        <w:spacing w:before="240" w:line="240" w:lineRule="auto"/>
        <w:jc w:val="both"/>
        <w:rPr>
          <w:rFonts w:ascii="Times New Roman" w:hAnsi="Times New Roman" w:eastAsia="Times New Roman" w:cs="Times New Roman"/>
          <w:sz w:val="24"/>
          <w:szCs w:val="24"/>
        </w:rPr>
      </w:pPr>
    </w:p>
    <w:p w14:paraId="50E42EC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Programda yer alan seçmeli dersler, Ebelik Bölümü öğrencilerinin ilgi alanları, kariyer hedefleri ve bireysel gelişimlerini destekleyecek biçimde yapılandırılmıştır. Seçmeli ders havuzu; ebelikte mesleki gelişim, etik ve mesleki değerler, araştırma ve kanıta dayalı uygulamalar, anne–çocuk ve toplum sağlığı ile güncel kadın sağlığı sorunları gibi alanları kapsamakta olup, öğrencilerin program çıktılarının ötesinde mesleki ve akademik yetkinlikler kazanmalarına olanak tanımaktadır. </w:t>
      </w:r>
      <w:r>
        <w:fldChar w:fldCharType="begin"/>
      </w:r>
      <w:r>
        <w:instrText xml:space="preserve"> HYPERLINK "https://sbfebelik.ksu.edu.tr/default.aspx?DId=101503"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Derslerin kredi ve AKTS dağılımı, ebelik eğitiminin niteliğini destekleyecek biçimde öğrenci iş yükü temelli olarak belirlenmekte ve program genelinde dengeli bir yapı oluşturulmaktadır. Her yarıyılda öğrencilerin akademik iş yükünün eşit ve yönetilebilir düzeyde dağılımı gözetlemekte; aşırı yoğunluk ya da yetersiz iş yükü oluşmasını önlemek amacıyla düzenli izleme ve değerlendirme çalışmaları yürütülmektedir.</w:t>
      </w:r>
      <w:r>
        <w:fldChar w:fldCharType="begin"/>
      </w:r>
      <w:r>
        <w:instrText xml:space="preserve"> HYPERLINK "https://sbfebelik.ksu.edu.tr/default.aspx?DId=101503"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Programın ders dağılım dengesi; ders değerlendirme anketleri, öğrenci ve mezun geri bildirimleri, öğretim elemanı görüşleri ve dış paydaş katkıları doğrultusunda düzenli olarak izlenmekte ve değerlendirilmektedir </w:t>
      </w:r>
      <w:r>
        <w:fldChar w:fldCharType="begin"/>
      </w:r>
      <w:r>
        <w:instrText xml:space="preserve"> HYPERLINK "https://drive.google.com/file/d/1qDpHb0Z1OtTAGTow75o6dAhcd07dS8qT/view?usp=sharing"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p>
    <w:p w14:paraId="5CE3A33E">
      <w:pPr>
        <w:spacing w:line="360" w:lineRule="auto"/>
        <w:jc w:val="both"/>
        <w:rPr>
          <w:rFonts w:ascii="Times New Roman" w:hAnsi="Times New Roman" w:eastAsia="Times New Roman" w:cs="Times New Roman"/>
          <w:sz w:val="24"/>
          <w:szCs w:val="24"/>
        </w:rPr>
      </w:pPr>
    </w:p>
    <w:p w14:paraId="23FA73A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Elde edilen bulgular, Ebelik Bölümü lisans programının güçlü yönlerinin korunması ve geliştirilmesi gereken alanların iyileştirilmesi amacıyla sistematik biçimde kullanılmakta; gerekli görülen durumlarda ders planı, içerikler ve klinik/uygulama saatlerinde güncellemeler yapılmaktadır. Sonuç olarak Ebelik Bölümü lisans programında ders dağılımı; kuramsal bilgi ile klinik ve saha uygulamalarının bütünlüğünü gözeten, öğrenci merkezli, mesleki yeterlilikleri ve kanıta dayalı ebelik uygulamalarını destekleyen dengeli bir yapı içerisinde sürdürülmekte; sürekli izleme, değerlendirme ve iyileştirme mekanizmaları ile güncel tutulmaktadır.</w:t>
      </w:r>
      <w:r>
        <w:fldChar w:fldCharType="begin"/>
      </w:r>
      <w:r>
        <w:instrText xml:space="preserve"> HYPERLINK "https://sbfebelik.ksu.edu.tr/default.aspx?DId=101503"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368B19CD">
      <w:pPr>
        <w:spacing w:line="360" w:lineRule="auto"/>
        <w:jc w:val="both"/>
      </w:pPr>
    </w:p>
    <w:p w14:paraId="1AB0B1E8">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B.1.3. Ders kazanımlarının program çıktılarıyla uyumu</w:t>
      </w:r>
    </w:p>
    <w:p w14:paraId="5D6F8E5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1E0A1DC9">
      <w:pPr>
        <w:spacing w:line="360" w:lineRule="auto"/>
        <w:jc w:val="both"/>
      </w:pPr>
      <w:r>
        <w:rPr>
          <w:rFonts w:ascii="Times New Roman" w:hAnsi="Times New Roman" w:eastAsia="Times New Roman" w:cs="Times New Roman"/>
          <w:sz w:val="24"/>
          <w:szCs w:val="24"/>
        </w:rPr>
        <w:t xml:space="preserve">KSÜ Sağlık Bilimleri Fakültesi Hemşirelik Bölümü lisans programında yer alan derslerin öğrenme kazanımları; program amaçları, mezun profili ve program çıktıları dikkate alınarak yapılandırılmıştır. Ders kazanımları, bilgi, beceri ve tutum alanlarını kapsayacak şekilde belirlenmiş ve program çıktılarıyla ilişkilendirilmiştir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Ders kazanımları ile program çıktıları arasındaki uyum, ders–program çıktıları uyum matrisleri aracılığıyla izlenmekte ve program çıktılarının dersler yoluyla dengeli biçimde desteklenmesi sağlanmaktadır. Bu uyum, ölçme-değerlendirme sonuçları, ders değerlendirme anketleri ve öğrenci geri bildirimleri doğrultusunda düzenli olarak gözden geçirilmektedir </w:t>
      </w:r>
      <w:r>
        <w:fldChar w:fldCharType="begin"/>
      </w:r>
      <w:r>
        <w:instrText xml:space="preserve"> HYPERLINK "https://docs.google.com/document/d/15dJI6xTsgXXa40xGN48EC4DjMYZmz4Fm/edit?usp=sharing&amp;ouid=107622420892877711975&amp;rtpof=true&amp;sd=true"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"https://docs.google.com/document/d/11NPAdJ_X34M7JUWLyfUCwNQwV19iWM_G/edit?usp=sharing&amp;ouid=107622420892877711975&amp;rtpof=true&amp;sd=true"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"https://docs.google.com/document/d/1mNWyNnYIsAPfZGGJqAzPFsHKV383E4ZP/edit?usp=sharing&amp;ouid=107622420892877711975&amp;rtpof=true&amp;sd=true"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Elde edilen veriler doğrultusunda ders kazanımlarında ve ders içeriklerinde gerekli görülen güncellemeler yapılmakta; böylece program çıktılarının gerçekleştirilmesi sürekli iyileştirme yaklaşımı çerçevesinde desteklenmektedir </w:t>
      </w:r>
      <w:r>
        <w:fldChar w:fldCharType="begin"/>
      </w:r>
      <w:r>
        <w:instrText xml:space="preserve"> HYPERLINK "https://docs.google.com/document/d/15dJI6xTsgXXa40xGN48EC4DjMYZmz4Fm/edit?usp=sharing&amp;ouid=107622420892877711975&amp;rtpof=true&amp;sd=true"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"https://docs.google.com/document/d/11NPAdJ_X34M7JUWLyfUCwNQwV19iWM_G/edit?usp=sharing&amp;ouid=107622420892877711975&amp;rtpof=true&amp;sd=true"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"https://docs.google.com/document/d/1mNWyNnYIsAPfZGGJqAzPFsHKV383E4ZP/edit?usp=sharing&amp;ouid=107622420892877711975&amp;rtpof=true&amp;sd=true"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1BB486A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AE84DB5">
      <w:pPr>
        <w:spacing w:line="360" w:lineRule="auto"/>
        <w:jc w:val="both"/>
        <w:rPr>
          <w:rFonts w:hint="default" w:ascii="Times New Roman" w:hAnsi="Times New Roman" w:eastAsia="Times New Roman" w:cs="Times New Roman"/>
          <w:sz w:val="24"/>
          <w:szCs w:val="24"/>
          <w:lang w:val="tr-TR"/>
        </w:rPr>
      </w:pPr>
      <w:r>
        <w:rPr>
          <w:rFonts w:ascii="Times New Roman" w:hAnsi="Times New Roman" w:eastAsia="Times New Roman" w:cs="Times New Roman"/>
          <w:sz w:val="24"/>
          <w:szCs w:val="24"/>
        </w:rPr>
        <w:t xml:space="preserve">Ders kazanımları programların genelinde program çıktılarıyla uyumlandırılmıştır ve ders bilgi paketleri ile paylaşılmaktadır </w:t>
      </w:r>
      <w:r>
        <w:fldChar w:fldCharType="begin"/>
      </w:r>
      <w:r>
        <w:instrText xml:space="preserve"> HYPERLINK "https://www.ksu.edu.tr/default.aspx?DId=59100"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7CF9EE1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Fizyoterapi ve Rehabilitasyon Bölümü’nde derslerin öğrenme kazanımları tanımlanmış ve program çıktıları ile ders kazanımları eşleştirmesi oluşturularak OBS sisteminde ders bilgi paketinde tanımlanmıştır </w:t>
      </w:r>
      <w:r>
        <w:fldChar w:fldCharType="begin"/>
      </w:r>
      <w:r>
        <w:instrText xml:space="preserve"> HYPERLINK "https://drive.google.com/drive/folders/1ozjThMjayFiy64PNJiUBGsmHmnGrrowi?usp=drive_link"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Kazanımların ifade şekli öngörülen bilişsel, duyuşsal ve devinimsel seviyesi de OBS sisteminde açıkça belirtmektedir </w:t>
      </w:r>
      <w:r>
        <w:fldChar w:fldCharType="begin"/>
      </w:r>
      <w:r>
        <w:instrText xml:space="preserve"> HYPERLINK "https://drive.google.com/drive/folders/1ozjThMjayFiy64PNJiUBGsmHmnGrrowi?usp=drive_link"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Ders öğrenme kazanımlarının gerçekleştiğinin nasıl izleneceğine dair sistematik bir planlama yapılmamıştır. Ancak ölçme değerlendirme sistemi ve dersler kapsamında verilen ödevlerin ders öğrenme kazanımlarını sağlaması beklenmektedir.</w:t>
      </w:r>
    </w:p>
    <w:p w14:paraId="7B31A733">
      <w:pPr>
        <w:pStyle w:val="2"/>
        <w:spacing w:line="360" w:lineRule="auto"/>
        <w:rPr>
          <w:rFonts w:ascii="Times New Roman" w:hAnsi="Times New Roman" w:cs="Times New Roman"/>
          <w:color w:val="auto"/>
          <w:sz w:val="22"/>
          <w:szCs w:val="22"/>
        </w:rPr>
      </w:pPr>
    </w:p>
    <w:p w14:paraId="779DC55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7BFCB08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KSÜ Sağlık Bilimleri Fakültesi Ebelik Bölümü lisans programında yer alan derslerin öğrenme kazanımları; program amaçları, mezun profili ve program çıktıları dikkate alınarak yapılandırılmıştır. Ders kazanımları, bilgi, beceri ve tutum alanlarını kapsayacak şekilde belirlenmiş ve program çıktılarıyla ilişkilendirilmiştir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Ders kazanımları ile program çıktıları arasındaki uyum, ders–program çıktıları uyum matrisleri aracılığıyla izlenmekte ve program çıktılarının dersler yoluyla dengeli biçimde desteklenmesi sağlanmaktadır. Bu uyum, ölçme-değerlendirme sonuçları, ders değerlendirme anketleri ve öğrenci geri bildirimleri doğrultusunda düzenli olarak gözden geçirilmektedir </w:t>
      </w:r>
      <w:r>
        <w:fldChar w:fldCharType="begin"/>
      </w:r>
      <w:r>
        <w:instrText xml:space="preserve"> HYPERLINK "https://drive.google.com/file/d/1qDpHb0Z1OtTAGTow75o6dAhcd07dS8qT/view?usp=sharing"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Elde edilen veriler doğrultusunda ders kazanımlarında ve ders içeriklerinde gerekli görülen güncellemeler yapılmakta; böylece program çıktılarının gerçekleştirilmesi sürekli iyileştirme yaklaşımı çerçevesinde desteklenmektedir </w:t>
      </w:r>
      <w:r>
        <w:fldChar w:fldCharType="begin"/>
      </w:r>
      <w:r>
        <w:instrText xml:space="preserve"> HYPERLINK "https://drive.google.com/file/d/1qDpHb0Z1OtTAGTow75o6dAhcd07dS8qT/view?usp=sharing"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p>
    <w:p w14:paraId="6AC8DB4A">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B.1.4. Öğrenci iş yüküne dayalı ders tasarımı</w:t>
      </w:r>
    </w:p>
    <w:p w14:paraId="015F43A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16D3BD3">
      <w:pPr>
        <w:spacing w:line="360" w:lineRule="auto"/>
        <w:jc w:val="both"/>
      </w:pPr>
      <w:r>
        <w:rPr>
          <w:rFonts w:ascii="Times New Roman" w:hAnsi="Times New Roman" w:eastAsia="Times New Roman" w:cs="Times New Roman"/>
          <w:sz w:val="24"/>
          <w:szCs w:val="24"/>
        </w:rPr>
        <w:t xml:space="preserve">Dersler, öğrenci iş yüküne dayalı olarak tasarlanmakta ve Avrupa Kredi Transfer Sistemi (AKTS) esas alınarak kredilendirilmektedir. Derslerin AKTS değerleri; kuramsal ders saatleri, uygulama ve klinik çalışma süreleri, ödevler, sınavlar ve bireysel çalışma süreleri dikkate alınarak belirlenmektedir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3EB364D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802ECC5">
      <w:pPr>
        <w:spacing w:line="360" w:lineRule="auto"/>
        <w:jc w:val="both"/>
        <w:rPr>
          <w:rFonts w:hint="default" w:ascii="Times New Roman" w:hAnsi="Times New Roman" w:eastAsia="Times New Roman" w:cs="Times New Roman"/>
          <w:sz w:val="24"/>
          <w:szCs w:val="24"/>
          <w:lang w:val="tr-TR"/>
        </w:rPr>
      </w:pPr>
      <w:r>
        <w:rPr>
          <w:rFonts w:ascii="Times New Roman" w:hAnsi="Times New Roman" w:eastAsia="Times New Roman" w:cs="Times New Roman"/>
          <w:sz w:val="24"/>
          <w:szCs w:val="24"/>
        </w:rPr>
        <w:t xml:space="preserve">Fizyoterapi ve Rehabilitasyon Bölümü’nde tüm derslerin AKTS değeri web sayfasında bölüm müfredatında belirtilmiştir </w:t>
      </w:r>
      <w:r>
        <w:fldChar w:fldCharType="begin"/>
      </w:r>
      <w:r>
        <w:instrText xml:space="preserve"> HYPERLINK "https://obs.ksu.edu.tr/oibs/bologna/index.aspx?lang=tr&amp;curOp=showPac&amp;curUnit=34&amp;curSunit=10144"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Öğrenci iş yüküne dayalı tasarım ise OBS sisteminde tanımlanmıştır </w:t>
      </w:r>
      <w:r>
        <w:fldChar w:fldCharType="begin"/>
      </w:r>
      <w:r>
        <w:instrText xml:space="preserve"> HYPERLINK "https://obs.ksu.edu.tr/"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033059A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35FD143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Dersler, öğrenci iş yüküne dayalı olarak tasarlanmakta ve Avrupa Kredi Transfer Sistemi (AKTS) esas alınarak kredilendirilmektedir. Derslerin AKTS değerleri; kuramsal ders saatleri, uygulama ve klinik çalışma süreleri, ödevler, sınavlar ve bireysel çalışma süreleri dikkate alınarak belirlenmektedir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3FDAB02E">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B.1.5. Programların izlenmesi ve güncellenmesi</w:t>
      </w:r>
    </w:p>
    <w:p w14:paraId="5F6C486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D538AE0">
      <w:pPr>
        <w:spacing w:line="360" w:lineRule="auto"/>
        <w:jc w:val="both"/>
      </w:pPr>
      <w:r>
        <w:rPr>
          <w:rFonts w:ascii="Times New Roman" w:hAnsi="Times New Roman" w:eastAsia="Times New Roman" w:cs="Times New Roman"/>
          <w:sz w:val="24"/>
          <w:szCs w:val="24"/>
        </w:rPr>
        <w:t xml:space="preserve">Hemşirelik lisans programının izlenmesi ve güncellenmesi süreci, planla–uygula–kontrol et–önlem al (PUKÖ) döngüsü kapsamında yürütülmektedir. Ders değerlendirme sonuçları, öğrenci ve mezun geri bildirimleri, iç ve dış paydaş görüşleri ile akademik kurul kararları doğrultusunda program düzenli olarak izlenmektedir. Elde edilen veriler doğrultusunda ders içerikleri, öğretim yöntemleri ve uygulama süreçlerinde gerekli güncellemeler yapılmakta; bu güncellemeler ilgili kurul kararları ile yürürlüğe konulmaktadır </w:t>
      </w:r>
      <w:r>
        <w:fldChar w:fldCharType="begin"/>
      </w:r>
      <w:r>
        <w:instrText xml:space="preserve"> HYPERLINK "https://docs.google.com/document/d/1LyB9iuCp5nlSeIJQm_vzH0KD6bm08V9t/edit?usp=sharing&amp;ouid=107622420892877711975&amp;rtpof=true&amp;sd=true"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"https://docs.google.com/document/d/13xvjYsR79qp_mHHUxEHCXLz2Q3Oy_7t4/edit?usp=sharing&amp;ouid=107622420892877711975&amp;rtpof=true&amp;sd=true"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 \l "heading=h.1gjsfd3ljksb"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"https://docs.google.com/document/d/1bb7F0rUfOpw-BigWCPwfuN2I9sJReOAr/edit?usp=sharing&amp;ouid=107622420892877711975&amp;rtpof=true&amp;sd=true"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"https://docs.google.com/document/d/1paP0TbTrQU2whtY4XLP7E8o70pFHJ6as/edit?usp=sharing&amp;ouid=107622420892877711975&amp;rtpof=true&amp;sd=true"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"https://docs.google.com/document/d/1D7NSQdXono15q8UbJ_lOdz-MENHvepNt/edit?usp=sharing&amp;ouid=107622420892877711975&amp;rtpof=true&amp;sd=true"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"https://docs.google.com/document/d/1JafRzB2TfjgiPEmcehINHenY0PNqwjtj/edit?usp=sharing&amp;ouid=107622420892877711975&amp;rtpof=true&amp;sd=true"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 xml:space="preserve">. </w:t>
      </w:r>
    </w:p>
    <w:p w14:paraId="582335F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74203D4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Fizyoterapi ve Rehabilitasyon bölümünün ders için program amaçları ve öğrenme çıktılarının izlenmesi için sistematik plan yoktur. Bu sürecin isleyişi ve sonuçlarının paydaşlarla değerlendirilmesi planlanmaktadır.</w:t>
      </w:r>
    </w:p>
    <w:p w14:paraId="13DB8119">
      <w:pPr>
        <w:spacing w:line="360" w:lineRule="auto"/>
        <w:jc w:val="both"/>
        <w:rPr>
          <w:rFonts w:hint="default" w:ascii="Times New Roman" w:hAnsi="Times New Roman" w:eastAsia="Times New Roman" w:cs="Times New Roman"/>
          <w:sz w:val="24"/>
          <w:szCs w:val="24"/>
          <w:lang w:val="tr-TR"/>
        </w:rPr>
      </w:pPr>
      <w:r>
        <w:rPr>
          <w:rFonts w:ascii="Times New Roman" w:hAnsi="Times New Roman" w:eastAsia="Times New Roman" w:cs="Times New Roman"/>
          <w:sz w:val="24"/>
          <w:szCs w:val="24"/>
        </w:rPr>
        <w:t xml:space="preserve">Eğitim ve öğretim ile ilgili istatistiki göstergeler Fizyoterapi ve Rehabilitasyon bölüm başkanlığı tarafından OBS sistemi üzerinden (her yarıyıl açılan dersler, öğrenci sayıları, başarı durumları, ders çeşitliliği, lab uygulama, ilişki kesme sayıları/nedenleri, vb) periyodik ve sistematik şekilde izlenebilmektedir </w:t>
      </w:r>
      <w:r>
        <w:fldChar w:fldCharType="begin"/>
      </w:r>
      <w:r>
        <w:instrText xml:space="preserve"> HYPERLINK "https://obs.ksu.edu.tr/oibs/start.aspx?gkm=0010322103666037700%2038808356003418433291378053111237840" </w:instrText>
      </w:r>
      <w:r>
        <w:fldChar w:fldCharType="separate"/>
      </w:r>
      <w:r>
        <w:rPr>
          <w:rStyle w:val="20"/>
          <w:rFonts w:ascii="Times New Roman" w:hAnsi="Times New Roman" w:eastAsia="Times New Roman" w:cs="Times New Roman"/>
          <w:sz w:val="24"/>
          <w:szCs w:val="24"/>
        </w:rPr>
        <w:t>[OD2]</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66F44777">
      <w:pPr>
        <w:spacing w:line="360" w:lineRule="auto"/>
        <w:jc w:val="both"/>
        <w:rPr>
          <w:rFonts w:hint="default" w:ascii="Times New Roman" w:hAnsi="Times New Roman" w:eastAsia="Times New Roman" w:cs="Times New Roman"/>
          <w:sz w:val="24"/>
          <w:szCs w:val="24"/>
          <w:lang w:val="tr-TR"/>
        </w:rPr>
      </w:pPr>
      <w:r>
        <w:rPr>
          <w:rFonts w:ascii="Times New Roman" w:hAnsi="Times New Roman" w:eastAsia="Times New Roman" w:cs="Times New Roman"/>
          <w:sz w:val="24"/>
          <w:szCs w:val="24"/>
        </w:rPr>
        <w:t xml:space="preserve">“Kahramanmaraş Sütçü İmam Üniversitesi Sağlık Bilimleri Fakültesi Fizyoterapi ve Rehabilitasyon Bölümü Öğretim Elemanı Değerlendirme Anketi” 2025-2026 Güz Döneminde bölüm özelinde yapılmıştır </w:t>
      </w:r>
      <w:r>
        <w:fldChar w:fldCharType="begin"/>
      </w:r>
      <w:r>
        <w:instrText xml:space="preserve"> HYPERLINK "https://drive.google.com/drive/folders/1ozjThMjayFiy64PNJiUBGsmHmnGrrowi?usp=drive_link" </w:instrText>
      </w:r>
      <w:r>
        <w:fldChar w:fldCharType="separate"/>
      </w:r>
      <w:r>
        <w:rPr>
          <w:rStyle w:val="20"/>
          <w:rFonts w:ascii="Times New Roman" w:hAnsi="Times New Roman" w:eastAsia="Times New Roman" w:cs="Times New Roman"/>
          <w:sz w:val="24"/>
          <w:szCs w:val="24"/>
        </w:rPr>
        <w:t>[OD2]</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w:t>
      </w:r>
    </w:p>
    <w:p w14:paraId="59D94F2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9095BC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lisans programının izlenmesi ve güncellenmesi süreci, planla–uygula–kontrol et–önlem al (PUKÖ) döngüsü kapsamında yürütülmektedir. Ders değerlendirme sonuçları, öğrenci ve mezun geri bildirimleri, iç ve dış paydaş görüşleri ile akademik kurul kararları doğrultusunda program düzenli olarak izlenmektedir. Elde edilen veriler doğrultusunda ders içerikleri, öğretim yöntemleri ve uygulama süreçlerinde gerekli güncellemeler yapılmakta; bu güncellemeler ilgili kurul kararları ile yürürlüğe konulmaktadır.</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 xml:space="preserve"> OD4]</w:t>
      </w:r>
      <w:r>
        <w:rPr>
          <w:rFonts w:ascii="Times New Roman" w:hAnsi="Times New Roman" w:eastAsia="Times New Roman" w:cs="Times New Roman"/>
          <w:color w:val="1155CC"/>
          <w:sz w:val="24"/>
          <w:szCs w:val="24"/>
          <w:u w:val="single"/>
        </w:rPr>
        <w:fldChar w:fldCharType="end"/>
      </w:r>
    </w:p>
    <w:p w14:paraId="38423807">
      <w:pPr>
        <w:spacing w:line="360" w:lineRule="auto"/>
        <w:jc w:val="both"/>
      </w:pPr>
    </w:p>
    <w:p w14:paraId="1198A9E9">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B.1.6. Eğitim ve öğretim süreçlerinin yönetimi</w:t>
      </w:r>
    </w:p>
    <w:p w14:paraId="6084B33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11DF291">
      <w:pPr>
        <w:spacing w:line="360" w:lineRule="auto"/>
        <w:jc w:val="both"/>
      </w:pPr>
      <w:r>
        <w:rPr>
          <w:rFonts w:ascii="Times New Roman" w:hAnsi="Times New Roman" w:eastAsia="Times New Roman" w:cs="Times New Roman"/>
          <w:sz w:val="24"/>
          <w:szCs w:val="24"/>
        </w:rPr>
        <w:t xml:space="preserve">Eğitim ve öğretim süreçlerinin yönetimi; bölüm kurulları, fakülte kurulları ve ilgili komisyonlar aracılığıyla tanımlı görev, yetki ve sorumluluklar çerçevesinde sistematik bir şekilde yürütülmektedir. Bu kapsamda KSÜ Eğitim-Öğretim Komisyonu ile Hemşirelik Bölümü Eğitim-Öğretim Komisyonu aktif olarak görev yapmakta </w:t>
      </w:r>
      <w:r>
        <w:fldChar w:fldCharType="begin"/>
      </w:r>
      <w:r>
        <w:instrText xml:space="preserve"> HYPERLINK "https://sbfhemsirelik.ksu.edu.tr/Default.aspx?SId=32639"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eğitim-öğretim süreçlerine ilişkin planlama, uygulama, izleme ve değerlendirme faaliyetleri bu komisyonlar aracılığıyla koordine edilmektedir </w:t>
      </w:r>
      <w:r>
        <w:fldChar w:fldCharType="begin"/>
      </w:r>
      <w:r>
        <w:instrText xml:space="preserve"> HYPERLINK "https://drive.google.com/file/d/14UkXrQ9S96VtKqRJ__tQVMIH_mUCUVJY/view?usp=sharing"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"https://drive.google.com/file/d/1HfW4P-8vIKfVUIg5GTzX3BrKg7j5ZGoL/view?usp=sharing"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"https://drive.google.com/file/d/15RieR41U4bRvxotMnu26uPUYkNG8lWFP/view?usp=sharing"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Bölüm bünyesinde eğitim-öğretim süreçlerinin etkin ve sürdürülebilir biçimde yürütülmesini sağlamak amacıyla Hemşirelik Eğitim-Öğretim Komisyonu üyeleri </w:t>
      </w:r>
      <w:r>
        <w:fldChar w:fldCharType="begin"/>
      </w:r>
      <w:r>
        <w:instrText xml:space="preserve"> HYPERLINK "https://sbfhemsirelik.ksu.edu.tr/Default.aspx?SId=32639"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görev tanımları </w:t>
      </w:r>
      <w:r>
        <w:fldChar w:fldCharType="begin"/>
      </w:r>
      <w:r>
        <w:instrText xml:space="preserve"> HYPERLINK "https://sbfhemsirelik.ksu.edu.tr/Default.aspx?SId=32639"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ve</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iş akış şeması</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oluşturulmuş </w:t>
      </w:r>
      <w:r>
        <w:fldChar w:fldCharType="begin"/>
      </w:r>
      <w:r>
        <w:instrText xml:space="preserve"> HYPERLINK "https://sbfhemsirelik.ksu.edu.tr/Default.aspx?SId=32639"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süreçler yazılı ve şeffaf bir yapıya kavuşturulmuştur. Ders planlamaları, öğretim elemanı görevlendirmeleri ile sınav ve değerlendirme süreçleri; akademik takvim, ilgili mevzuat ve üniversite senato kararları doğrultusunda gerçekleştirilmektedir </w:t>
      </w:r>
      <w:r>
        <w:fldChar w:fldCharType="begin"/>
      </w:r>
      <w:r>
        <w:instrText xml:space="preserve"> HYPERLINK "https://drive.google.com/file/d/1RhWlNtLEBmqyweePcGZBQ5GtBbDvdOjQ/view?usp=sharing"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"https://sbfhemsirelik.ksu.edu.tr/depo/duyuru_belge/2025-2026%20e%C4%9Fitim-%C3%B6%C4%9Fretim%20y%C4%B1l%C4%B1%20g%C3%BCz%20d%C3%B6nemi%20haftal%C4%B1k%20ders%20program%C4%B1_2509302337516921.pdf"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5DDB5FFA">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2"/>
          <w:szCs w:val="22"/>
        </w:rPr>
        <w:t>Fi</w:t>
      </w:r>
      <w:r>
        <w:rPr>
          <w:rFonts w:ascii="Times New Roman" w:hAnsi="Times New Roman" w:cs="Times New Roman"/>
          <w:color w:val="auto"/>
          <w:sz w:val="24"/>
          <w:szCs w:val="24"/>
        </w:rPr>
        <w:t>zyoterapi ve Rehabilitasyon</w:t>
      </w:r>
    </w:p>
    <w:p w14:paraId="47F92DE3">
      <w:pPr>
        <w:spacing w:line="360" w:lineRule="auto"/>
        <w:jc w:val="both"/>
        <w:rPr>
          <w:rFonts w:ascii="Times New Roman" w:hAnsi="Times New Roman" w:cs="Times New Roman"/>
          <w:sz w:val="24"/>
          <w:szCs w:val="24"/>
        </w:rPr>
      </w:pPr>
      <w:r>
        <w:rPr>
          <w:rFonts w:ascii="Times New Roman" w:hAnsi="Times New Roman" w:cs="Times New Roman"/>
          <w:sz w:val="24"/>
          <w:szCs w:val="24"/>
        </w:rPr>
        <w:t>Kahramanmaraş Sütçü İmam Üniversitesi eğitim ve öğretim süreçlerini bütüncül olarak yönetmek üzere; organizasyonel yapılanma için üniversite eğitim ve öğretim komisyonuna sahiptir. Sağlık Bilimleri Fakültesi bünyesinde Yönetim Kurulunun 09.03.2021 tarih ve 2021/10 sayılı oturumunda alınan 02 No'lu Kararı ile eğitim ve öğretim komisyonu oluşturulmuştur. Bu kapsamda bu komisyonda Fizyoterapi ve Rehabilitasyon Bölümü öğretim elemanlarından Doç. Dr. Hatice Adıgüzel Tat, Dr. Öğr. Üyesi Mehmet GÖĞREMİŞ ve Arş. Gör. Aldulkadir Ertürk görevlendirilmiştir.</w:t>
      </w:r>
    </w:p>
    <w:p w14:paraId="3D623F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Sağlık Bilimleri Fakültesi bünyesinde eğitim ve öğretim komisyonu belirli aralıklarla toplanarak, müfredat, eğitim-öğretim, öğretim yöntemleri, ölçme değerlendirme ve programların yürütülmesi ve güncellenmesi için toplanmaktadır </w:t>
      </w:r>
      <w:r>
        <w:rPr>
          <w:sz w:val="24"/>
          <w:szCs w:val="24"/>
        </w:rPr>
        <w:fldChar w:fldCharType="begin"/>
      </w:r>
      <w:r>
        <w:rPr>
          <w:sz w:val="24"/>
          <w:szCs w:val="24"/>
        </w:rPr>
        <w:instrText xml:space="preserve"> HYPERLINK "https://saglik.ksu.edu.tr/depo/belgeler/Komsyonlar-2025%20son%20hali_2510171003295011.pdf" </w:instrText>
      </w:r>
      <w:r>
        <w:rPr>
          <w:sz w:val="24"/>
          <w:szCs w:val="24"/>
        </w:rP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w:t>
      </w:r>
      <w:r>
        <w:rPr>
          <w:sz w:val="24"/>
          <w:szCs w:val="24"/>
        </w:rPr>
        <w:fldChar w:fldCharType="begin"/>
      </w:r>
      <w:r>
        <w:rPr>
          <w:sz w:val="24"/>
          <w:szCs w:val="24"/>
        </w:rPr>
        <w:instrText xml:space="preserve"> HYPERLINK "https://saglik.ksu.edu.tr/Default.aspx?SId=33350" </w:instrText>
      </w:r>
      <w:r>
        <w:rPr>
          <w:sz w:val="24"/>
          <w:szCs w:val="24"/>
        </w:rP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43FDD95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444ACEB2">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 lisans programında eğitim ve öğretim süreçlerinin yönetimi; Bölüm Kurulu, Fakülte Kurulu ve ilgili eğitim-öğretim komisyonları aracılığıyla, tanımlı görev, yetki ve sorumluluklar çerçevesinde planlı ve sistematik bir biçimde yürütülmektedir. Bu doğrultuda KSÜ Eğitim-Öğretim Komisyonu ile Ebelik Bölümü Eğitim-Öğretim Komisyonu, programın planlanması, uygulanması, izlenmesi ve iyileştirilmesine yönelik süreçlerde aktif ve eşgüdümlü olarak görev yapmaktadır. </w:t>
      </w:r>
      <w:r>
        <w:fldChar w:fldCharType="begin"/>
      </w:r>
      <w:r>
        <w:instrText xml:space="preserve"> HYPERLINK "https://sbfebelik.ksu.edu.tr/depo/belgeler/E%C4%9Fitim-%C3%96%C4%9Fretim%20Komisyonu_2508271201227666.pdf"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eğitim-öğretim süreçlerine ilişkin planlama, uygulama, izleme ve değerlendirme faaliyetleri bu komisyonlar aracılığıyla koordine edilmektedir. Bölüm bünyesinde eğitim-öğretim süreçlerinin etkin ve sürdürülebilir biçimde yürütülmesini sağlamak amacıyla Ebelik Eğitim-Öğretim Komisyonu üyeleri </w:t>
      </w:r>
      <w:r>
        <w:fldChar w:fldCharType="begin"/>
      </w:r>
      <w:r>
        <w:instrText xml:space="preserve"> HYPERLINK "https://sbfebelik.ksu.edu.tr/depo/belgeler/E%C4%9Fitim-%C3%96%C4%9Fretim%20Komisyonu_2508271201227666.pdf"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süreçler yazılı ve şeffaf bir yapıya kavuşturulmuştur. Ders planlamaları, öğretim elemanı görevlendirmeleri ile sınav ve değerlendirme süreçleri; akademik takvim, ilgili mevzuat ve üniversite senato kararları doğrultusunda gerçekleştirilmektedir </w:t>
      </w:r>
      <w:r>
        <w:fldChar w:fldCharType="begin"/>
      </w:r>
      <w:r>
        <w:instrText xml:space="preserve"> HYPERLINK "https://drive.google.com/file/d/1RhWlNtLEBmqyweePcGZBQ5GtBbDvdOjQ/view?usp=sharing"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 </w:t>
      </w:r>
    </w:p>
    <w:p w14:paraId="5274FDB9">
      <w:pPr>
        <w:spacing w:line="360" w:lineRule="auto"/>
        <w:jc w:val="both"/>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B.2. Programların Yürütülmesi</w:t>
      </w:r>
    </w:p>
    <w:p w14:paraId="0E32DB5B">
      <w:pPr>
        <w:spacing w:line="360" w:lineRule="auto"/>
        <w:jc w:val="both"/>
        <w:rPr>
          <w:rFonts w:hint="default" w:ascii="Times New Roman" w:hAnsi="Times New Roman" w:eastAsia="Times New Roman" w:cs="Times New Roman"/>
          <w:b/>
          <w:bCs/>
          <w:sz w:val="24"/>
          <w:szCs w:val="24"/>
        </w:rPr>
      </w:pPr>
      <w:r>
        <w:rPr>
          <w:rFonts w:hint="default" w:ascii="Times New Roman" w:hAnsi="Times New Roman" w:cs="Times New Roman"/>
          <w:sz w:val="24"/>
          <w:szCs w:val="24"/>
        </w:rPr>
        <w:t xml:space="preserve">Birimde Öğrenci başarısını ölçme ve değerlendirmede kullanılan tanımlı süreçler KSÜ Önlisans ve Lisans Eğitim Öğretim ve Sınav Yönetmeliği ve ilgili yönergeler çerçevesinde yürütülmektedir. Ön Lisans ve Lisans Eğitim-Öğretim ve Sınav Yönetmeliğinde ve ilgili yönergelerinde tanımlı “ara sınav”, “yarıyıl sonu sınavı”, “bütünleme sınavı”, “mazeret sınavı”, “tek ders sınavı” ve “ek sınav” olmak üzere altı farklı sınav düzenlenmektedir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"https://docs.google.com/document/d/1lfcHypDLrV2lUES4Vd74J6LlPnnMt4k6/edit?usp=drivesdk&amp;ouid=104819963265018352254&amp;rtpof=true&amp;sd=true"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p>
    <w:p w14:paraId="64B8FE19">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B.2.1. Öğretim yöntem ve teknikleri </w:t>
      </w:r>
    </w:p>
    <w:p w14:paraId="082241B0">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253EBA75">
      <w:pPr>
        <w:spacing w:line="360" w:lineRule="auto"/>
        <w:jc w:val="both"/>
      </w:pPr>
      <w:r>
        <w:rPr>
          <w:rFonts w:ascii="Times New Roman" w:hAnsi="Times New Roman" w:eastAsia="Times New Roman" w:cs="Times New Roman"/>
          <w:sz w:val="24"/>
          <w:szCs w:val="24"/>
        </w:rPr>
        <w:t xml:space="preserve">Hemşirelik bölümünde öğrenci başarısını ölçme ve değerlendirme, KSÜ Önlisans ve Lisans Eğitim-Öğretim ve Sınav Yönetmeliği ile ilgili yönergeler çerçevesinde yürütülmektedir. Ön Lisans ve Lisans Eğitim-Öğretim ve Sınav Yönetmeliği ve ilgili yönergelerinde tanımlı altı farklı sınav bulunmaktadır: “ara sınav”, “yarıyıl sonu sınavı”, “bütünleme sınavı”, “mazeret sınavı”, “tek ders sınavı” ve “ek sınav” </w:t>
      </w:r>
      <w:r>
        <w:fldChar w:fldCharType="begin"/>
      </w:r>
      <w:r>
        <w:instrText xml:space="preserve"> HYPERLINK "https://www.ksu.edu.tr/depo/belgeler/KS%C3%9C%20%C3%96N%20L%C4%B0SANS%20VE%20L%C4%B0SANS%20E%C4%9E%C4%B0T%C4%B0M-%C3%96%C4%9ERET%C4%B0M%20Y%C3%96NETMEL%C4%B0%C4%9E%C4%B0%20B%C4%B0R%C4%B0NC%C4%B0%20B%C3%96L%C3%9CM_2001150135115804.pdf"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"https://drive.google.com/file/d/1mE9_KHAcw3nD5dpf8ZLKcmWKLaGc6j1Z/view?usp=sharing"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Bölümümüzde uygulamaya dayalı derslerin değerlendirilmesinde ilgili uygulamaya özgü performans değerlendirme araçları kullanılmaktadır. İlgili uygulamaya ilişkin tüm anabilim dallarının değerlendirme formları bölümün web sayfasında yer almaktadır</w:t>
      </w:r>
      <w:r>
        <w:fldChar w:fldCharType="begin"/>
      </w:r>
      <w:r>
        <w:instrText xml:space="preserve"> HYPERLINK "https://sbfhemsirelik.ksu.edu.tr/Default.aspx?SId=32431"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7283D2D9">
      <w:pPr>
        <w:spacing w:line="360" w:lineRule="auto"/>
        <w:jc w:val="both"/>
      </w:pPr>
      <w:r>
        <w:rPr>
          <w:rFonts w:ascii="Times New Roman" w:hAnsi="Times New Roman" w:eastAsia="Times New Roman" w:cs="Times New Roman"/>
          <w:sz w:val="24"/>
          <w:szCs w:val="24"/>
        </w:rPr>
        <w:t xml:space="preserve">Derslerde tartışma, balık kılçığı, iş birliğine dayalı öğrenme, vaka tartışması, grup çalışmaları, gösterip yaptırma, gösterim, rol oynama, akran eğitimi, simülasyon/benzetim, sorun çözme, bulmaca çözme, soru-cevap ve kavram haritası gibi aktif öğrenme yöntemleri uygulanmaktadır. Özellikle vaka çalışmaları, hasta/sağlık birey/toplum eğitimleri ve grup çalışmaları, öğrencilerin ders öncesinde başlayarak ders sürecinde de aktif rol almasını sağlamaktadır. Derslerde öğrencilerin araştırma, okuma, yazma ve yorumlama becerilerini geliştiren performans/proje ödevlerine de yer verilmektedir. Her anabilim dalına ait derslerde aktif öğrenme yöntemlerinin kullanımı Bologna Bilgi Paketinde sunulmuştur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Bu değerlendirme araçları ile öğrencilerin ilgili derse ilişkin değerlendirmeleri, dönem sonunda Hemşirelik Bölüm Başkanlığına teslim edilmektedir. Yaz stajlarının değerlendirilmesinde ise “öğrenciler tarafından staj süresince tutulan raporlar” ve kurum değerlendirme sonuçları kullanılmaktadır </w:t>
      </w:r>
      <w:r>
        <w:fldChar w:fldCharType="begin"/>
      </w:r>
      <w:r>
        <w:instrText xml:space="preserve"> HYPERLINK "https://drive.google.com/file/d/1Y09mOfDOzi3knJTWvFugKke-V6vPXFba/view?usp=sharing"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238978E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BF0968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Fizyoterapi ve Rehabilitasyon bölümünde öğretim yöntemi teorik ve uygulamalı eğitimlerden oluşmaktadır. Bölümümüz FT 111 Normal Motor Gelişim dersinde vaka/uygulama örnekleriyle ödevleriyle interaktif öğrenci katılımı sağlanmıştır. FT 305 Pediatrik Rehabilitasyon dersinde öğrenciler interaktif olarak vaka değerlendirmesi ve yüz yüze sunumlarını yaparak vize notlarına ödev notu olarak eklenmiştir. BSS 203 Gönüllük Çalışması kapsamında gruplara ayrılarak her grupta proje geliştirilmiştir. Proje raporları 2025-2026 Güz Dönemi sonunda sorumlu öğretim elemanına sunulmuştur. Derslerde kullanılmak üzere Sağlık Bilimleri Fakültesinden bölüm laboratuvarı için gerekli malzemeler talep edilip, alınmıştır. </w:t>
      </w:r>
      <w:r>
        <w:fldChar w:fldCharType="begin"/>
      </w:r>
      <w:r>
        <w:instrText xml:space="preserve"> HYPERLINK "https://drive.google.com/file/d/1RRNQ-OjJM8-Z1ixmr-wK_fImxFNu1zg3/view?usp=drivesdk"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"https://drive.google.com/file/d/1Xp6ujJFtsnwfpcRjtOuHO_VR7z2x5Zth/view?usp=drivesdk"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"https://drive.google.com/file/d/14Ywtu3XhPso0gUXDyxZ2A9eNZnisVhi1/view?usp=drivesdk" </w:instrText>
      </w:r>
      <w:r>
        <w:fldChar w:fldCharType="separate"/>
      </w:r>
      <w:r>
        <w:rPr>
          <w:rStyle w:val="20"/>
          <w:rFonts w:ascii="Times New Roman" w:hAnsi="Times New Roman" w:eastAsia="Times New Roman" w:cs="Times New Roman"/>
          <w:sz w:val="24"/>
          <w:szCs w:val="24"/>
        </w:rPr>
        <w:t>[OD3]</w:t>
      </w:r>
      <w:r>
        <w:rPr>
          <w:rStyle w:val="20"/>
          <w:rFonts w:ascii="Times New Roman" w:hAnsi="Times New Roman" w:eastAsia="Times New Roman" w:cs="Times New Roman"/>
          <w:sz w:val="24"/>
          <w:szCs w:val="24"/>
        </w:rPr>
        <w:fldChar w:fldCharType="end"/>
      </w:r>
    </w:p>
    <w:p w14:paraId="4D83479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405D970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bölümünde öğrenci başarısını ölçme ve değerlendirme, KSÜ Önlisans ve Lisans Eğitim-Öğretim ve Sınav Yönetmeliği ile ilgili yönergeler çerçevesinde yürütülmektedir. Ön Lisans ve Lisans Eğitim-Öğretim ve Sınav Yönetmeliği ve ilgili yönergelerinde tanımlı altı farklı sınav bulunmaktadır: “ara sınav”, “yarıyıl sonu sınavı”, “bütünleme sınavı”, “mazeret sınavı”, “tek ders sınavı” ve “ek sınav” </w:t>
      </w:r>
      <w:r>
        <w:fldChar w:fldCharType="begin"/>
      </w:r>
      <w:r>
        <w:instrText xml:space="preserve"> HYPERLINK "https://www.ksu.edu.tr/depo/belgeler/KS%C3%9C%20%C3%96N%20L%C4%B0SANS%20VE%20L%C4%B0SANS%20E%C4%9E%C4%B0T%C4%B0M-%C3%96%C4%9ERET%C4%B0M%20Y%C3%96NETMEL%C4%B0%C4%9E%C4%B0%20B%C4%B0R%C4%B0NC%C4%B0%20B%C3%96L%C3%9CM_2001150135115804.pdf"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"https://drive.google.com/file/d/1mE9_KHAcw3nD5dpf8ZLKcmWKLaGc6j1Z/view?usp=sharing"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Bölümümüzde uygulamaya dayalı derslerin değerlendirilmesinde ilgili uygulamaya özgü performans değerlendirme araçları kullanılmaktadır. </w:t>
      </w:r>
    </w:p>
    <w:p w14:paraId="61781CCB">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Derslerde tartışma, balık kılçığı, iş birliğine dayalı öğrenme, vaka tartışması, grup çalışmaları, gösterip yaptırma, gösterim, rol oynama, akran eğitimi, simülasyon/benzetim, sorun çözme, bulmaca çözme, soru-cevap ve kavram haritası gibi aktif öğrenme yöntemleri uygulanmaktadır. Özellikle vaka çalışmaları, hasta/sağlık birey/toplum eğitimleri ve grup çalışmaları, öğrencilerin ders öncesinde başlayarak ders sürecinde de aktif rol almasını sağlamaktadır. Derslerde öğrencilerin araştırma, okuma, yazma ve yorumlama becerilerini geliştiren performans/proje ödevlerine de yer verilmektedir. Her anabilim dalına ait derslerde aktif öğrenme yöntemlerinin kullanımı Bologna Bilgi Paketinde sunulmuştur </w:t>
      </w:r>
      <w:r>
        <w:fldChar w:fldCharType="begin"/>
      </w:r>
      <w:r>
        <w:instrText xml:space="preserve"> HYPERLINK "https://obs.ksu.edu.tr/oibs/bologna/index.aspx?lang=tr&amp;curOp=showPac&amp;curUnit=34&amp;curSunit=10135"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Yaz stajlarının değerlendirilmesinde ise “öğrenciler tarafından staj süresince tutulan raporlar” ve kurum değerlendirme sonuçları kullanılmaktadır </w:t>
      </w:r>
      <w:r>
        <w:fldChar w:fldCharType="begin"/>
      </w:r>
      <w:r>
        <w:instrText xml:space="preserve"> HYPERLINK "https://sbfebelik.ksu.edu.tr/Default.aspx?SId=33395"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0F60EB44">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B.2.2. Ölçme ve değerlendirme </w:t>
      </w:r>
    </w:p>
    <w:p w14:paraId="42263E1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3AAE0306">
      <w:pPr>
        <w:spacing w:line="360" w:lineRule="auto"/>
        <w:jc w:val="both"/>
      </w:pPr>
      <w:r>
        <w:rPr>
          <w:rFonts w:ascii="Times New Roman" w:hAnsi="Times New Roman" w:eastAsia="Times New Roman" w:cs="Times New Roman"/>
          <w:sz w:val="24"/>
          <w:szCs w:val="24"/>
        </w:rPr>
        <w:t xml:space="preserve">Ölçme değerlendirme birimi kurulmuş olup öğrencilerin öğrenme etkinlikleri güvenilir ve geçerli yöntemlerle değerlendirilmektedir. Kanıta dayalı uygulamaların eğitim programında daha iyi ele alınması için çalışmalar devam etmektedir. Derslerin program çıktısına ulaşma düzeyini değerlendiren sistemin oluşturulma süreci Ölçme Değerlendirme Komisyonu tarafından çalışılmaktadır </w:t>
      </w:r>
      <w:r>
        <w:fldChar w:fldCharType="begin"/>
      </w:r>
      <w:r>
        <w:instrText xml:space="preserve"> HYPERLINK "https://sbfhemsirelik.ksu.edu.tr/Default.aspx?SId=32652"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Öğretim elemanlarının ölçme değerlendirme becerilerinin geliştirilmesi amacıyla “Ölçme Değerlendirme Eğitimi” gerçekleştirilmiştir </w:t>
      </w:r>
      <w:r>
        <w:fldChar w:fldCharType="begin"/>
      </w:r>
      <w:r>
        <w:instrText xml:space="preserve"> HYPERLINK "https://sbfhemsirelik.ksu.edu.tr/default.aspx?DId=101971"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Programlarımızdaki uygulamalı dersler alan uygulamalarında “Klinik Uygulama Öğrenci Değerlendirme Formları” ile alana özgü kriterler çerçevesinde yapılmaktadır </w:t>
      </w:r>
      <w:r>
        <w:fldChar w:fldCharType="begin"/>
      </w:r>
      <w:r>
        <w:instrText xml:space="preserve"> HYPERLINK "https://sbfhemsirelik.ksu.edu.tr/Default.aspx?SId=32431"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Kurumumuzda Yaz Stajlarının sorunsuz yürütülmesini sağlanmasından Birim Staj ve Eğitim Uygulama Kurulu sorumlu olup, görev tanımları ve iş akış şeması oluşturulmuştur </w:t>
      </w:r>
      <w:r>
        <w:fldChar w:fldCharType="begin"/>
      </w:r>
      <w:r>
        <w:instrText xml:space="preserve"> HYPERLINK "https://sbfhemsirelik.ksu.edu.tr/Default.aspx?SId=32431"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Hemşirelik Uygulama ve Yaz Stajlarında Yönergelerinde öğrencilerin nasıl değerlendirileceğine ilişkin kapsamlı açıklamalar bulunmaktadır </w:t>
      </w:r>
      <w:r>
        <w:fldChar w:fldCharType="begin"/>
      </w:r>
      <w:r>
        <w:instrText xml:space="preserve"> HYPERLINK "https://sbfhemsirelik.ksu.edu.tr/Default.aspx?SId=32432"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"https://sbfhemsirelik.ksu.edu.tr/Default.aspx?SId=32437"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Klinik uygulama alanları için öğrencilerin hemşire, öğretim elemanı ve uygulama alanı ile ilgili ve klinik hemşirelerinin uygulamaya yönelik geri bildirimleri alınmaktadır (İç ve Dış paydaş) </w:t>
      </w:r>
      <w:r>
        <w:fldChar w:fldCharType="begin"/>
      </w:r>
      <w:r>
        <w:instrText xml:space="preserve"> HYPERLINK "https://sbfhemsirelik.ksu.edu.tr/depo/belgeler/%C4%B0%C3%87%20PAYDA%C5%9E%20MEMNUN%C4%B0YET%20ANKET%C4%B0_2506021557496966.pdf"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"https://sbfhemsirelik.ksu.edu.tr/depo/belgeler/DI%C5%9E%20PAYDA%C5%9E%20ANKET%C4%B0_2506021620167134.pdf"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Analiz sonuçları tüm öğretim üye ve elamanları ile paylaşılmaktadır. </w:t>
      </w:r>
    </w:p>
    <w:p w14:paraId="5028752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134D0964">
      <w:pPr>
        <w:spacing w:line="360" w:lineRule="auto"/>
        <w:jc w:val="both"/>
        <w:rPr>
          <w:rFonts w:ascii="Times New Roman" w:hAnsi="Times New Roman" w:cs="Times New Roman"/>
          <w:sz w:val="24"/>
          <w:szCs w:val="24"/>
        </w:rPr>
      </w:pPr>
      <w:r>
        <w:rPr>
          <w:rFonts w:ascii="Times New Roman" w:hAnsi="Times New Roman" w:cs="Times New Roman"/>
          <w:sz w:val="24"/>
          <w:szCs w:val="24"/>
        </w:rPr>
        <w:t>Fizyoterapi ve Rehabilitasyon bölümünde ölçme ve değerlendirme yöntemleri ders kazanım hedeflerine göre teorik ve uygulama derslerine uygun olarak; yazılı sınav; klasik- çoktan seçmeli ya da sözlü ve uygulama sınavı şeklinde yapılmaktadır. Bazı derslerde ödevlerle interaktif katılım sağlanarak, ödev notu öğrencinin final ya da vize notunu öğretim elemanının belirlediği oranda etkilemektedir.</w:t>
      </w:r>
      <w:r>
        <w:rPr>
          <w:rFonts w:hint="default" w:ascii="Times New Roman" w:hAnsi="Times New Roman" w:cs="Times New Roman"/>
          <w:sz w:val="24"/>
          <w:szCs w:val="24"/>
          <w:lang w:val="tr-TR"/>
        </w:rPr>
        <w:t xml:space="preserve"> </w:t>
      </w:r>
      <w:r>
        <w:rPr>
          <w:rFonts w:ascii="Times New Roman" w:hAnsi="Times New Roman" w:cs="Times New Roman"/>
          <w:sz w:val="24"/>
          <w:szCs w:val="24"/>
        </w:rPr>
        <w:t>Dezavantajlı gruplara yönelik sınavlar mekanizmaları bulunmamaktadır.</w:t>
      </w:r>
      <w:r>
        <w:rPr>
          <w:rFonts w:hint="default" w:ascii="Times New Roman" w:hAnsi="Times New Roman" w:cs="Times New Roman"/>
          <w:sz w:val="24"/>
          <w:szCs w:val="24"/>
          <w:lang w:val="tr-TR"/>
        </w:rPr>
        <w:t xml:space="preserve"> </w:t>
      </w:r>
      <w:r>
        <w:rPr>
          <w:rFonts w:ascii="Times New Roman" w:hAnsi="Times New Roman" w:cs="Times New Roman"/>
          <w:sz w:val="24"/>
          <w:szCs w:val="24"/>
        </w:rPr>
        <w:t xml:space="preserve">Uygulama sınavlarında öğrenciye yaryılın son haftasında not dağılım çizelgesini bildirilen, “Uygulama Sınav Değerlendirme Formu” kullanılmaktadır </w:t>
      </w:r>
      <w:r>
        <w:fldChar w:fldCharType="begin"/>
      </w:r>
      <w:r>
        <w:instrText xml:space="preserve"> HYPERLINK "http://oidb.ksu.edu.tr/Default.aspx?SId=9572"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p>
    <w:p w14:paraId="3B227A76">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Ebelik</w:t>
      </w:r>
    </w:p>
    <w:p w14:paraId="4038D25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Ölçme değerlendirme birimi kurulmuş olup öğrencilerin öğrenme etkinlikleri güvenilir ve geçerli yöntemlerle değerlendirilmektedir. Kanıta dayalı uygulamaların eğitim programında daha iyi ele alınması için çalışmalar devam etmektedir. Derslerin program çıktısına ulaşma düzeyini değerlendiren sistemin oluşturulma süreci Ölçme Değerlendirme Komisyonu tarafından çalışılmaktadır </w:t>
      </w:r>
      <w:r>
        <w:fldChar w:fldCharType="begin"/>
      </w:r>
      <w:r>
        <w:instrText xml:space="preserve"> HYPERLINK "https://sbfebelik.ksu.edu.tr/Default.aspx?SId=32284"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Öğretim elemanlarının ölçme değerlendirme becerilerinin geliştirilmesi amacıyla “Ölçme Değerlendirme Eğitimi” gerçekleştirilmiştir </w:t>
      </w:r>
      <w:r>
        <w:fldChar w:fldCharType="begin"/>
      </w:r>
      <w:r>
        <w:instrText xml:space="preserve"> HYPERLINK "https://sbfebelik.ksu.edu.tr/Default.aspx?SId=32284"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Programlarımızdaki uygulamalı dersler alan uygulamalarında “Klinik Uygulama Öğrenci Değerlendirme Formları” ile alana özgü kriterler çerçevesinde yapılmaktadır </w:t>
      </w:r>
      <w:r>
        <w:fldChar w:fldCharType="begin"/>
      </w:r>
      <w:r>
        <w:instrText xml:space="preserve"> HYPERLINK "https://www.ksu.edu.tr/depo/belgeler/Kahramanmara%C5%9F%20S%C3%BCt%C3%A7%C3%BC%20%C4%B0mam%20%C3%9Cniversitesi%20Ders%20Alma%2C%20S%C4%B1navlar%2C%20Ders%20Ge%C3%A7me%2C%20Ba%C5%9Far%C4%B1%20Ve%20Notlar%C4%B1n%20De%C4%9Ferlendirilmesi%20Y%C3%B6nergesi_2408191522463639.pdf"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Kurumumuzda Yaz Stajlarının sorunsuz yürütülmesini sağlanmasından Birim Staj ve Eğitim Uygulama Kurulu sorumlu olup, görev tanımları ve iş akış şeması oluşturulacaktır. Ebelik Uygulama ve Yaz Stajlarında Yönergelerinde öğrencilerin nasıl değerlendirileceğine ilişkin kapsamlı açıklamalar bulunmaktadır </w:t>
      </w:r>
      <w:r>
        <w:fldChar w:fldCharType="begin"/>
      </w:r>
      <w:r>
        <w:instrText xml:space="preserve"> HYPERLINK "https://saglik.ksu.edu.tr/depo/belgeler/SA%C4%9ELIK%20B%C4%B0L%C4%B0MLER%C4%B0%20FAK%C3%9CLTES%C4%B0%20EBEL%C4%B0K%20B%C3%96L%C3%9CM%C3%9C%20UYGULAMA%20VE%20STAJ%20Y%C3%96NERGES%C4%B0.docx_1912021412355079.pdf"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 Klinik uygulama alanları için öğrencilerin hemşire, öğretim elemanı ve uygulama alanı ile ilgili ve klinik hemşirelerinin uygulamaya yönelik geri bildirimleri alınmaktadır (İç ve Dış paydaş) </w:t>
      </w:r>
      <w:r>
        <w:fldChar w:fldCharType="begin"/>
      </w:r>
      <w:r>
        <w:instrText xml:space="preserve"> HYPERLINK "https://sbfebelik.ksu.edu.tr/Default.aspx?DId=100487"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 </w:t>
      </w:r>
    </w:p>
    <w:p w14:paraId="6893CB43">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B.2.3. Öğrenci kabulü, önceki öğrenmenin tanınması ve kredilendirilmesi</w:t>
      </w:r>
    </w:p>
    <w:p w14:paraId="6525273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45D7AC87">
      <w:pPr>
        <w:spacing w:line="360" w:lineRule="auto"/>
        <w:jc w:val="both"/>
      </w:pPr>
      <w:r>
        <w:rPr>
          <w:rFonts w:ascii="Times New Roman" w:hAnsi="Times New Roman" w:eastAsia="Times New Roman" w:cs="Times New Roman"/>
          <w:sz w:val="24"/>
          <w:szCs w:val="24"/>
        </w:rPr>
        <w:t xml:space="preserve">Hemşirelik bölümüne öğrencilerin kayıt kabul, sınav ve değerlendirme işlemleri Yüksek Öğrenim Kanuna ve bu kanuna dayalı olarak çıkarılan Yüksek Öğretim Kurulu kararlarına ve yönetmeliklerine göre yapılmaktadır. Bölüme öğrenci kabulü, yatay-dikey geçişler, mezuniyet koşulları ve öğrenci değişim programları KSU yönetmelikleri ile belirlenmektedir. Hemşirelik bölümüne Ölçme, Seçme ve Yerleştirme Merkezi (ÖSYM) yerleştirmesi, dikey/yatay geçiş, uluslararası öğrenci kabulü yöntemleri ile öğrenci kabul edilmektedir </w:t>
      </w:r>
      <w:r>
        <w:fldChar w:fldCharType="begin"/>
      </w:r>
      <w:r>
        <w:instrText xml:space="preserve"> HYPERLINK "https://drive.google.com/file/d/1RhWlNtLEBmqyweePcGZBQ5GtBbDvdOjQ/view?usp=sharing"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"https://drive.google.com/file/d/1uKRaQA-GBMpkoSFzZ-8fHAN0YG1lk3rR/view?usp=sharing"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"https://drive.google.com/file/d/1fHfyPtUy26CYSRE669zBnzJ-7bsCjGj4/view?usp=sharing"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Öğrenci kabulleri, Yüksek Öğretim Kurumu (YÖK) ve ÖSYM Başkanlığı ile Rektörlük tarafından belirlenen ilkeler ve ilan edilen tarihler arasında, istenilen belgelerle Bölüm Öğrenci İşleri Birimi tarafından yapılmaktadır. Hemşirelik bölümün öğretim dili Türkçedir. Fakültemize öğrenciler Yükseköğretim Kurumları Sınavı (YKS) Sayısal Bilgiler puan türü ve YKS Yükseköğretim Programları ve Kontenjanları Kılavuzu’nda yer alan kriterlere göre yapılmaktadır </w:t>
      </w:r>
      <w:r>
        <w:fldChar w:fldCharType="begin"/>
      </w:r>
      <w:r>
        <w:instrText xml:space="preserve"> HYPERLINK "https://www.osym.gov.tr/TR,29532/2024-yuksekogretim-kurumlari-sinavi-yks-yuksekogretim-programlari-ve-kontenjanlari-kilavuzu.html"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KSÜ Kurum İçi ve Kurumlar Arası Yatay Geçiş, Ders Muafiyet ve İntibak Yönergesi doğrultusunda yapılmaktadır </w:t>
      </w:r>
      <w:r>
        <w:fldChar w:fldCharType="begin"/>
      </w:r>
      <w:r>
        <w:instrText xml:space="preserve"> HYPERLINK "https://drive.google.com/file/d/1uKRaQA-GBMpkoSFzZ-8fHAN0YG1lk3rR/view?usp=sharing"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Uluslararasılaşma politikasına paralel hareketlilik destekleri öğrencilere sağlanmaktadır. Kontenjan dahilinde hareketlilik programına katılan öğrencilerin kredi kaybı olmaması için durumları bölüm bünyesinde yer alan Dış İlişkiler (Yabancı Uyruklu/Erasmus/Farabi ve Özel Öğrenciler) Komisyonu Hemşirelik Bölümü Öğretim elamanlarınca yapılmaktadır  </w:t>
      </w:r>
      <w:r>
        <w:fldChar w:fldCharType="begin"/>
      </w:r>
      <w:r>
        <w:instrText xml:space="preserve"> HYPERLINK "https://www.osym.gov.tr/TR,29532/2024-yuksekogretim-kurumlari-sinavi-yks-yuksekogretim-programlari-ve-kontenjanlari-kilavuzu.html" \h </w:instrText>
      </w:r>
      <w:r>
        <w:fldChar w:fldCharType="separate"/>
      </w:r>
      <w:r>
        <w:rPr>
          <w:rStyle w:val="20"/>
          <w:rFonts w:ascii="Times New Roman" w:hAnsi="Times New Roman" w:eastAsia="Times New Roman" w:cs="Times New Roman"/>
          <w:color w:val="0563C1"/>
          <w:sz w:val="24"/>
          <w:szCs w:val="24"/>
        </w:rPr>
        <w:t>[OD2]</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"https://sbfhemsirelik.ksu.edu.tr/Default.aspx?SId=32651"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"https://drive.google.com/file/d/1SRfRE7JzqkqoVzU8UohS1Mr71TKWjLgt/view?usp=sharing"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"https://drive.google.com/file/d/1uKRaQA-GBMpkoSFzZ-8fHAN0YG1lk3rR/view?usp=sharing"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Programlara kabul edilen öğrencilerin önceki öğrenmenin tanınması ve kredilendirilmesine süreçler Fakülte Bünyesinde yer alan ve her bölümden en az bir öğretim üyesinin olduğu “SBF İntibak Muafiyet Komisyonu” tarafından yapılmaktadır </w:t>
      </w:r>
      <w:r>
        <w:fldChar w:fldCharType="begin"/>
      </w:r>
      <w:r>
        <w:instrText xml:space="preserve"> HYPERLINK "https://saglik.ksu.edu.tr/depo/belgeler/Komsyonlar-2025%20son%20hali_2510171003295011.pdf"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Bu süreçlere ilişkin görev tanımı ve iş akış planları oluşturulmuş ve kullanılmak ve ayrıca süreç Öğrenci İşleri Daire Başkanlığınca izlenmektedir. Hemşirelik bölümü “İntibak Muafiyet” komisyonu bulunmaktadır </w:t>
      </w:r>
      <w:r>
        <w:fldChar w:fldCharType="begin"/>
      </w:r>
      <w:r>
        <w:instrText xml:space="preserve"> HYPERLINK "https://sbfhemsirelik.ksu.edu.tr/Default.aspx?SId=32654"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Komisyonun görev tanımı ve iş akış şeması</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oluşturulmuş ve çalışmaları EBYS ile dekanlık makamına iletilmektedir </w:t>
      </w:r>
      <w:r>
        <w:fldChar w:fldCharType="begin"/>
      </w:r>
      <w:r>
        <w:instrText xml:space="preserve"> HYPERLINK "https://drive.google.com/file/d/1uKRaQA-GBMpkoSFzZ-8fHAN0YG1lk3rR/view?usp=sharing"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5D5EAB7E">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53AC3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Kahramanmaraş Sütçü İmam Üniversitesi Fizyoterapi ve Rehabilitasyon Bölümüne öğrenci kabulü; lise ve dengi meslek okullarından mezun olmuş, Öğrenci Seçme ve Yerleştirme Merkezi (ÖSYM) tarafından yapılan Yüksek Öğretim Kurumları Sınavında (YKS) Temel Yeterlilik Sınavı (TYT) ve Alan Yeterlilik Sınavı (AYT) sonucuna göre sayısal puan türüne göre veya YÖK tarafından muadili onaylanmış, uluslararası sınavlara giren öğrenciler arasından tercih ve başarı sıralamalarına göre yerleştirilmeyi hak kazananlardan yapılmaktadır </w:t>
      </w:r>
      <w:r>
        <w:fldChar w:fldCharType="begin"/>
      </w:r>
      <w:r>
        <w:instrText xml:space="preserve"> HYPERLINK "https://internationalstudents.ksu.edu.tr/Default.aspx?SId=23906" </w:instrText>
      </w:r>
      <w:r>
        <w:fldChar w:fldCharType="separate"/>
      </w:r>
      <w:r>
        <w:rPr>
          <w:rStyle w:val="20"/>
          <w:rFonts w:ascii="Times New Roman" w:hAnsi="Times New Roman" w:cs="Times New Roman"/>
          <w:sz w:val="24"/>
          <w:szCs w:val="24"/>
        </w:rPr>
        <w:t>[OD4]</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Üniversitemiz web sayfasında yer alan Uluslararası Öğrenci bölümünde detaylar açıklanmıştır </w:t>
      </w:r>
      <w:r>
        <w:fldChar w:fldCharType="begin"/>
      </w:r>
      <w:r>
        <w:instrText xml:space="preserve"> HYPERLINK "https://internationalstudents.ksu.edu.tr/Default.aspx?SId=23906" </w:instrText>
      </w:r>
      <w:r>
        <w:fldChar w:fldCharType="separate"/>
      </w:r>
      <w:r>
        <w:rPr>
          <w:rStyle w:val="20"/>
          <w:rFonts w:ascii="Times New Roman" w:hAnsi="Times New Roman" w:cs="Times New Roman"/>
          <w:sz w:val="24"/>
          <w:szCs w:val="24"/>
        </w:rPr>
        <w:t>[OD4]</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Ayrıca bölüm web sayfamızda kayıt-kabul şartları açıklanmıştır </w:t>
      </w:r>
      <w:r>
        <w:fldChar w:fldCharType="begin"/>
      </w:r>
      <w:r>
        <w:instrText xml:space="preserve"> HYPERLINK "https://docs.google.com/document/d/188ZPnEhrqr81g0yNvA3ujSOyq15k769U/edit?usp=drivesdk&amp;ouid=104819963265018352254&amp;rtpof=true&amp;sd=true" </w:instrText>
      </w:r>
      <w:r>
        <w:fldChar w:fldCharType="separate"/>
      </w:r>
      <w:r>
        <w:rPr>
          <w:rStyle w:val="20"/>
          <w:rFonts w:ascii="Times New Roman" w:hAnsi="Times New Roman" w:cs="Times New Roman"/>
          <w:sz w:val="24"/>
          <w:szCs w:val="24"/>
        </w:rPr>
        <w:t>[OD4]</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w:t>
      </w:r>
      <w:r>
        <w:fldChar w:fldCharType="begin"/>
      </w:r>
      <w:r>
        <w:instrText xml:space="preserve"> HYPERLINK "https://sbfftr.ksu.edu.tr/Default.aspx?SId=14008" </w:instrText>
      </w:r>
      <w:r>
        <w:fldChar w:fldCharType="separate"/>
      </w:r>
      <w:r>
        <w:rPr>
          <w:rStyle w:val="20"/>
          <w:rFonts w:ascii="Times New Roman" w:hAnsi="Times New Roman" w:cs="Times New Roman"/>
          <w:sz w:val="24"/>
          <w:szCs w:val="24"/>
        </w:rPr>
        <w:t>[OD4]</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13E5EF4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5619872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bölümüne öğrencilerin kayıt kabul, sınav ve değerlendirme işlemleri Yüksek Öğrenim Kanuna ve bu kanuna dayalı olarak çıkarılan Yüksek Öğretim Kurulu kararlarına ve yönetmeliklerine göre yapılmaktadır. Bölüme öğrenci kabulü, yatay-dikey geçişler, mezuniyet koşulları ve öğrenci değişim programları KSU yönetmelikleri ile belirlenmektedir. Ebelik bölümüne Ölçme, Seçme ve Yerleştirme Merkezi (ÖSYM) yerleştirmesi, dikey/yatay geçiş, uluslararası öğrenci kabulü yöntemleri ile öğrenci kabul edilmektedir </w:t>
      </w:r>
      <w:r>
        <w:fldChar w:fldCharType="begin"/>
      </w:r>
      <w:r>
        <w:instrText xml:space="preserve"> HYPERLINK "https://drive.google.com/file/d/1RhWlNtLEBmqyweePcGZBQ5GtBbDvdOjQ/view?usp=sharing"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"https://drive.google.com/file/d/1uKRaQA-GBMpkoSFzZ-8fHAN0YG1lk3rR/view?usp=sharing"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"https://drive.google.com/file/d/1fHfyPtUy26CYSRE669zBnzJ-7bsCjGj4/view?usp=sharing"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Öğrenci kabulleri, Yüksek Öğretim Kurumu (YÖK) ve ÖSYM Başkanlığı ile Rektörlük tarafından belirlenen ilkeler ve ilan edilen tarihler arasında, istenilen belgelerle Bölüm Öğrenci İşleri Birimi tarafından yapılmaktadır. Ebelik bölümün öğretim dili Türkçedir. Fakültemize öğrenciler Yükseköğretim Kurumları Sınavı (YKS) Sayısal Bilgiler puan türü ve YKS Yükseköğretim Programları ve Kontenjanları Kılavuzu’nda yer alan kriterlere göre yapılmaktadır </w:t>
      </w:r>
      <w:r>
        <w:fldChar w:fldCharType="begin"/>
      </w:r>
      <w:r>
        <w:instrText xml:space="preserve"> HYPERLINK "https://www.osym.gov.tr/TR,29532/2024-yuksekogretim-kurumlari-sinavi-yks-yuksekogretim-programlari-ve-kontenjanlari-kilavuzu.html"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KSÜ Kurum İçi ve Kurumlar Arası Yatay Geçiş, Ders Muafiyet ve İntibak Yönergesi doğrultusunda yapılmaktadır </w:t>
      </w:r>
      <w:r>
        <w:fldChar w:fldCharType="begin"/>
      </w:r>
      <w:r>
        <w:instrText xml:space="preserve"> HYPERLINK "https://drive.google.com/file/d/1uKRaQA-GBMpkoSFzZ-8fHAN0YG1lk3rR/view?usp=sharing"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Uluslararasılaşma politikasına paralel hareketlilik destekleri öğrencilere sağlanmaktadır. Kontenjan dahilinde hareketlilik programına katılan öğrencilerin kredi kaybı olmaması için durumları bölüm bünyesinde yer alan Dış İlişkiler (Yabancı Uyruklu/Erasmus/Farabi ve Özel Öğrenciler) Komisyonu Ebelik Bölümü Öğretim elamanlarınca yapılmaktadır  </w:t>
      </w:r>
      <w:r>
        <w:fldChar w:fldCharType="begin"/>
      </w:r>
      <w:r>
        <w:instrText xml:space="preserve"> HYPERLINK "https://www.osym.gov.tr/TR,29532/2024-yuksekogretim-kurumlari-sinavi-yks-yuksekogretim-programlari-ve-kontenjanlari-kilavuzu.html"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 Programlara kabul edilen öğrencilerin önceki öğrenmenin tanınması ve kredilendirilmesine süreçler Fakülte Bünyesinde yer alan ve her bölümden en az bir öğretim üyesinin olduğu “SBF İntibak Muafiyet Komisyonu” tarafından yapılmaktadır </w:t>
      </w:r>
      <w:r>
        <w:fldChar w:fldCharType="begin"/>
      </w:r>
      <w:r>
        <w:instrText xml:space="preserve"> HYPERLINK "https://sbfebelik.ksu.edu.tr/Default.aspx?SId=33424"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Bu süreçlere ilişkin görev tanımı ve iş akış planları oluşturulmuş ve kullanılmak ve ayrıca süreç Öğrenci İşleri Daire Başkanlığınca izlenmektedir. Ebelik bölümü “İntibak Muafiyet” komisyonu bulunmaktadır </w:t>
      </w:r>
      <w:r>
        <w:fldChar w:fldCharType="begin"/>
      </w:r>
      <w:r>
        <w:instrText xml:space="preserve"> HYPERLINK "https://www.osym.gov.tr/TR%2C29532/2024-yuksekogretim-kurumlari-sinavi-yks-yuksekogretim-programlari-ve-kontenjanlari-kilavuzu.html"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p>
    <w:p w14:paraId="55B9EC60">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B.2.4. Yeterliliklerin sertifikalandırılması ve diploma</w:t>
      </w:r>
    </w:p>
    <w:p w14:paraId="6622A0B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2427AD41">
      <w:pPr>
        <w:pStyle w:val="2"/>
        <w:spacing w:line="360" w:lineRule="auto"/>
        <w:rPr>
          <w:rFonts w:ascii="Times New Roman" w:hAnsi="Times New Roman" w:cs="Times New Roman"/>
          <w:b w:val="0"/>
          <w:bCs w:val="0"/>
          <w:color w:val="auto"/>
          <w:sz w:val="22"/>
          <w:szCs w:val="22"/>
        </w:rPr>
      </w:pPr>
      <w:r>
        <w:rPr>
          <w:rFonts w:ascii="Times New Roman" w:hAnsi="Times New Roman" w:cs="Times New Roman"/>
          <w:b w:val="0"/>
          <w:bCs w:val="0"/>
          <w:color w:val="auto"/>
          <w:sz w:val="24"/>
          <w:szCs w:val="24"/>
        </w:rPr>
        <w:t xml:space="preserve">Hemşirelik bölümünden mezun olabilmek için bölüm müfredatındaki tüm derslerin başarı ile tamamlanması ve beraber öğrencinin mezun olabilmesi için müfredatta yer alan seçmeli ve zorunlu derslerin alınması ve en az 240 AKTS’nin tamamlanması gerekmektedir. Öğrencilerin akademik gelişimleri ve mezuniyet koşullarını sağlama durumları akademik danışman tarafından takip edilmekte ve danışman tarafından öncelikle mezuniyet onaylarının verilmesi gerekmektedir. Hemşirelik bölümü mezuniyet koşulları web sayfasında yayınlanmıştır. Diploma işlemleri için iş akış yönergeleri bulunmaktadır </w:t>
      </w:r>
      <w:r>
        <w:fldChar w:fldCharType="begin"/>
      </w:r>
      <w:r>
        <w:instrText xml:space="preserve"> HYPERLINK "https://oidb.ksu.edu.tr/Default.aspx?SId=24286" \h </w:instrText>
      </w:r>
      <w:r>
        <w:fldChar w:fldCharType="separate"/>
      </w:r>
      <w:r>
        <w:rPr>
          <w:rStyle w:val="20"/>
          <w:rFonts w:ascii="Times New Roman" w:hAnsi="Times New Roman" w:cs="Times New Roman"/>
          <w:b w:val="0"/>
          <w:bCs w:val="0"/>
          <w:color w:val="auto"/>
          <w:sz w:val="24"/>
          <w:szCs w:val="24"/>
        </w:rPr>
        <w:t>[OD2]</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cs="Times New Roman"/>
          <w:b w:val="0"/>
          <w:bCs w:val="0"/>
          <w:color w:val="auto"/>
          <w:sz w:val="24"/>
          <w:szCs w:val="24"/>
        </w:rPr>
        <w:t>[OD2]</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"https://drive.google.com/file/d/1hP2fXsgRpZgPVqIf6wBWFSPVc1clmWnr/view?usp=sharing" \h </w:instrText>
      </w:r>
      <w:r>
        <w:fldChar w:fldCharType="separate"/>
      </w:r>
      <w:r>
        <w:rPr>
          <w:rStyle w:val="20"/>
          <w:rFonts w:ascii="Times New Roman" w:hAnsi="Times New Roman" w:cs="Times New Roman"/>
          <w:b w:val="0"/>
          <w:bCs w:val="0"/>
          <w:color w:val="auto"/>
          <w:sz w:val="24"/>
          <w:szCs w:val="24"/>
        </w:rPr>
        <w:t>[OD2]</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"https://drive.google.com/file/d/1hP1snPJboNipHFDvlUQxKSYm8Dq9MGYf/view?usp=sharing" \h </w:instrText>
      </w:r>
      <w:r>
        <w:fldChar w:fldCharType="separate"/>
      </w:r>
      <w:r>
        <w:rPr>
          <w:rStyle w:val="20"/>
          <w:rFonts w:ascii="Times New Roman" w:hAnsi="Times New Roman" w:cs="Times New Roman"/>
          <w:b w:val="0"/>
          <w:bCs w:val="0"/>
          <w:color w:val="auto"/>
          <w:sz w:val="24"/>
          <w:szCs w:val="24"/>
        </w:rPr>
        <w:t>[OD2]</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"https://drive.google.com/file/d/1fBl8tx6DVgyLUTRa6dExYz6lrcoT-xSS/view?usp=sharing" \h </w:instrText>
      </w:r>
      <w:r>
        <w:fldChar w:fldCharType="separate"/>
      </w:r>
      <w:r>
        <w:rPr>
          <w:rStyle w:val="20"/>
          <w:rFonts w:ascii="Times New Roman" w:hAnsi="Times New Roman" w:cs="Times New Roman"/>
          <w:b w:val="0"/>
          <w:bCs w:val="0"/>
          <w:color w:val="auto"/>
          <w:sz w:val="24"/>
          <w:szCs w:val="24"/>
        </w:rPr>
        <w:t>[OD2]</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p>
    <w:p w14:paraId="597C059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50A5B1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Fizyoterapi ve Rehabilitasyon alanında lisans derecesi almak için 240 AKTS'yi başarılı ile tamamlamış olmak ve kümülatif not ortalamasının 4’lük sisteme göre en az 2.00 olması gerekmektedir. Sağlık Bilimleri Fakültesi web sitesinde ilgili şartları belirten eğitim öğretim sınav yönetmeliği bulunmaktadır </w:t>
      </w:r>
      <w:r>
        <w:fldChar w:fldCharType="begin"/>
      </w:r>
      <w:r>
        <w:instrText xml:space="preserve"> HYPERLINK "https://saglik.ksu.edu.tr/Default.aspx?SId=21853"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p>
    <w:p w14:paraId="05EF306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7FDEF5F5">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bölümünden mezun olabilmek için bölüm müfredatındaki tüm derslerin başarı ile tamamlanması ve beraber öğrencinin mezun olabilmesi için müfredatta yer alan seçmeli ve zorunlu derslerin alınması ve en az 240 AKTS’nin tamamlanması gerekmektedir. Öğrencilerin akademik gelişimleri ve mezuniyet koşullarını sağlama durumları akademik danışman tarafından takip edilmekte ve danışman tarafından öncelikle mezuniyet onaylarının verilmesi gerekmektedir. Ebelik bölümü mezuniyet koşulları web sayfasında yayınlanmıştır. Diploma işlemleri için iş akış yönergeleri bulunmaktadır </w:t>
      </w:r>
      <w:r>
        <w:fldChar w:fldCharType="begin"/>
      </w:r>
      <w:r>
        <w:instrText xml:space="preserve"> HYPERLINK "https://drive.google.com/file/d/1hP2fXsgRpZgPVqIf6wBWFSPVc1clmWnr/view?usp=sharing"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"https://drive.google.com/file/d/1hP1snPJboNipHFDvlUQxKSYm8Dq9MGYf/view?usp=sharing"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"https://drive.google.com/file/d/1fBl8tx6DVgyLUTRa6dExYz6lrcoT-xSS/view?usp=sharing" \h </w:instrText>
      </w:r>
      <w:r>
        <w:fldChar w:fldCharType="separate"/>
      </w:r>
      <w:r>
        <w:rPr>
          <w:rFonts w:ascii="Times New Roman" w:hAnsi="Times New Roman" w:eastAsia="Times New Roman" w:cs="Times New Roman"/>
          <w:color w:val="0563C1"/>
          <w:sz w:val="24"/>
          <w:szCs w:val="24"/>
          <w:u w:val="single"/>
        </w:rPr>
        <w:t>[OD2]</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p>
    <w:p w14:paraId="51180090">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B.3.  Öğrenme Kaynakları ve Akademik Destek Hizmetleri</w:t>
      </w:r>
    </w:p>
    <w:p w14:paraId="6761601B">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p w14:paraId="2A98C9A1">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B.3.1. Öğrenme ortam ve kaynakları</w:t>
      </w:r>
    </w:p>
    <w:p w14:paraId="160214A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8DE9085">
      <w:pPr>
        <w:pStyle w:val="2"/>
        <w:spacing w:line="360" w:lineRule="auto"/>
        <w:rPr>
          <w:rFonts w:ascii="Times New Roman" w:hAnsi="Times New Roman" w:cs="Times New Roman"/>
          <w:b w:val="0"/>
          <w:bCs w:val="0"/>
          <w:color w:val="auto"/>
          <w:sz w:val="22"/>
          <w:szCs w:val="22"/>
        </w:rPr>
      </w:pPr>
      <w:r>
        <w:rPr>
          <w:rFonts w:ascii="Times New Roman" w:hAnsi="Times New Roman" w:cs="Times New Roman"/>
          <w:b w:val="0"/>
          <w:bCs w:val="0"/>
          <w:color w:val="auto"/>
          <w:sz w:val="24"/>
          <w:szCs w:val="24"/>
        </w:rPr>
        <w:t>Hemşirelik bölümü öğrencilerinin eğitim öğretim faaliyetleri için kullandıkları 9 sınıf, bir bilgisayar laboratuvarı, üç teknik dersler için kullandıkları uygulama laboratuvar bulunmaktadır [</w:t>
      </w:r>
      <w:r>
        <w:fldChar w:fldCharType="begin"/>
      </w:r>
      <w:r>
        <w:instrText xml:space="preserve"> HYPERLINK "https://sbfhemsirelik.ksu.edu.tr/Default.aspx?SId=32974" \h </w:instrText>
      </w:r>
      <w:r>
        <w:fldChar w:fldCharType="separate"/>
      </w:r>
      <w:r>
        <w:rPr>
          <w:rStyle w:val="20"/>
          <w:rFonts w:ascii="Times New Roman" w:hAnsi="Times New Roman" w:cs="Times New Roman"/>
          <w:b w:val="0"/>
          <w:bCs w:val="0"/>
          <w:color w:val="auto"/>
          <w:sz w:val="24"/>
          <w:szCs w:val="24"/>
        </w:rPr>
        <w:t>OD3</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u w:val="single"/>
        </w:rPr>
        <w:t>]</w:t>
      </w:r>
      <w:r>
        <w:rPr>
          <w:rFonts w:ascii="Times New Roman" w:hAnsi="Times New Roman" w:cs="Times New Roman"/>
          <w:b w:val="0"/>
          <w:bCs w:val="0"/>
          <w:color w:val="auto"/>
          <w:sz w:val="24"/>
          <w:szCs w:val="24"/>
        </w:rPr>
        <w:t>. Sınıflar öğrencilerin eğitim öğretim ihtiyaçlarına cevap verecek şekilde ergonomik, bilgisayar ve projektörleri bulunan teknik donanıma sahiptir. Dersler projektörler ile öğretim elemanlarına görsel, ilgi çekici ders anlatma imkânı sunarken öğrencilere de çeşitli konularda sunum yapma imkânı vererek kendini gerçekleştirme olanağı sağlamaktadır. Ayrıca sınıflarda internete erişim sağlanmaktadır. Hemşirelik bölümünde Uzaktan eğitim programı veya uzaktan eğitim dersleri eğitim yönetim sistemi (EYS) üzerinden yürütülmektedir [</w:t>
      </w:r>
      <w:r>
        <w:fldChar w:fldCharType="begin"/>
      </w:r>
      <w:r>
        <w:instrText xml:space="preserve"> HYPERLINK "https://eys.ksu.edu.tr/almsp" \h </w:instrText>
      </w:r>
      <w:r>
        <w:fldChar w:fldCharType="separate"/>
      </w:r>
      <w:r>
        <w:rPr>
          <w:rStyle w:val="20"/>
          <w:rFonts w:ascii="Times New Roman" w:hAnsi="Times New Roman" w:cs="Times New Roman"/>
          <w:b w:val="0"/>
          <w:bCs w:val="0"/>
          <w:color w:val="auto"/>
          <w:sz w:val="24"/>
          <w:szCs w:val="24"/>
        </w:rPr>
        <w:t>OD4</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Öğrencilerin kullanımına sunulan merkez kütüphanede bulunan kitap sayısı gün içinde güncellenmektedir. Kütüphanede bilgisayar ortamına aktarılarak okuyucu hizmetine sunulan her türlü yayın bulunmaktadır. Kitaplar açık raf sistemine göre raflara dizilmiştir. Raf yerleşim planı bulunan kütüphanede aranan kitaplar kolaylıkla bulunabilmektedir. Kütüphanede 107. 898 kitap, 40.439 e- kitap yer almakla birlikte online kaynaklara erişim sağlanmaktadır [</w:t>
      </w:r>
      <w:r>
        <w:fldChar w:fldCharType="begin"/>
      </w:r>
      <w:r>
        <w:instrText xml:space="preserve"> HYPERLINK "https://kutuphane.ksu.edu.tr/" \h </w:instrText>
      </w:r>
      <w:r>
        <w:fldChar w:fldCharType="separate"/>
      </w:r>
      <w:r>
        <w:rPr>
          <w:rStyle w:val="20"/>
          <w:rFonts w:ascii="Times New Roman" w:hAnsi="Times New Roman" w:cs="Times New Roman"/>
          <w:b w:val="0"/>
          <w:bCs w:val="0"/>
          <w:color w:val="auto"/>
          <w:sz w:val="24"/>
          <w:szCs w:val="24"/>
        </w:rPr>
        <w:t>OD4</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Öğrenci ve öğretim elemanı geri bildirimleri yapılmaktadır [</w:t>
      </w:r>
      <w:r>
        <w:fldChar w:fldCharType="begin"/>
      </w:r>
      <w:r>
        <w:instrText xml:space="preserve"> HYPERLINK "https://kddb.ksu.edu.tr/Default.aspx?SId=164" \h </w:instrText>
      </w:r>
      <w:r>
        <w:fldChar w:fldCharType="separate"/>
      </w:r>
      <w:r>
        <w:rPr>
          <w:rStyle w:val="20"/>
          <w:rFonts w:ascii="Times New Roman" w:hAnsi="Times New Roman" w:cs="Times New Roman"/>
          <w:b w:val="0"/>
          <w:bCs w:val="0"/>
          <w:color w:val="auto"/>
          <w:sz w:val="24"/>
          <w:szCs w:val="24"/>
        </w:rPr>
        <w:t>OD4</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 Bologna Bilgi Paketinde her ders için kaynak belirtilmiştir [</w:t>
      </w:r>
      <w:r>
        <w:fldChar w:fldCharType="begin"/>
      </w:r>
      <w:r>
        <w:instrText xml:space="preserve"> HYPERLINK "https://obs.ksu.edu.tr/oibs/bologna/index.aspx?lang=tr&amp;curOp=showPac&amp;curUnit=34&amp;curSunit=10136" \h </w:instrText>
      </w:r>
      <w:r>
        <w:fldChar w:fldCharType="separate"/>
      </w:r>
      <w:r>
        <w:rPr>
          <w:rStyle w:val="20"/>
          <w:rFonts w:ascii="Times New Roman" w:hAnsi="Times New Roman" w:cs="Times New Roman"/>
          <w:b w:val="0"/>
          <w:bCs w:val="0"/>
          <w:color w:val="auto"/>
          <w:sz w:val="24"/>
          <w:szCs w:val="24"/>
        </w:rPr>
        <w:t>OD4</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p>
    <w:p w14:paraId="3D5B4051">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70BF42E2">
      <w:pPr>
        <w:spacing w:line="360" w:lineRule="auto"/>
        <w:jc w:val="both"/>
        <w:rPr>
          <w:rFonts w:ascii="Times New Roman" w:hAnsi="Times New Roman" w:cs="Times New Roman"/>
          <w:sz w:val="24"/>
          <w:szCs w:val="24"/>
        </w:rPr>
      </w:pPr>
      <w:r>
        <w:rPr>
          <w:rFonts w:ascii="Times New Roman" w:hAnsi="Times New Roman" w:cs="Times New Roman"/>
          <w:sz w:val="24"/>
          <w:szCs w:val="24"/>
        </w:rPr>
        <w:t>Fizyoterapi ve Rehabilitasyon bölümü 6 şubat 2023 depremi nedeniyle KSÜ Bahçelievler kampüsündeki olanaklarını kaybetmiştir. Bahçelievler kampüs binamızın ağır hasarlı olması nedeniyle bölümümüz Avşar Yerleşkesinde bulunan Teknik Bilimler Meslek Yüksekokulu taşınmıştır. Bölümümüz bünyesinde Avşar yerleşkesi’nde Teknik Bilimler Meslek Yüksekokulunda 3 adet derslik, 1 adet uygulama laboratuvarı geçici olarak tesis edilmiştir. Bölüm bünyesinde 41 adet basılı kaynak kitap bulunmaktadır. Ancak deprem nedeniyle bu kaynaklar Afşin MYO’ya gönderilmiştir. Kütüphanemizde bölümümümüz adına kitap istemi yapılmıştır. Çevrimiçi kaynak eğitim materyalleri için öğrencilere danışman öğretim elemanları aracılığıyla her yarıyılda Sağlık Bilimleri Fakültesi’nin tüm bölümlerine VİZE yayıncılık tarafından bilgilendirme yapılmaktadır. Bilimsel araştırmalar projesi kapsamında FTR laboratuvarına parmak gonyometresi, kanedyen, koltuk değneği, kinesiotape, ayak gonyometresi, push up tahtası, plastik skinfold, metal kaliper kumpas, denge yastığı, flaster, Beta Fix, coban bandajı, servikal gonyometre, elastik bandajlar, Mulligan kemeri, yapışkan elektrotlar alınmıştır (</w:t>
      </w:r>
      <w:r>
        <w:fldChar w:fldCharType="begin"/>
      </w:r>
      <w:r>
        <w:instrText xml:space="preserve"> HYPERLINK "https://drive.google.com/file/d/14Ywtu3XhPso0gUXDyxZ2A9eNZnisVhi1/view?usp=drivesdk" </w:instrText>
      </w:r>
      <w:r>
        <w:fldChar w:fldCharType="separate"/>
      </w:r>
      <w:r>
        <w:rPr>
          <w:rStyle w:val="20"/>
          <w:rFonts w:ascii="Times New Roman" w:hAnsi="Times New Roman" w:cs="Times New Roman"/>
          <w:sz w:val="24"/>
          <w:szCs w:val="24"/>
        </w:rPr>
        <w:t>[OD3][OD3][OD3]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6493E123">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830ED16">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Bölümü öğrencilerinin eğitim-öğretim faaliyetlerinde kullandıkları dokuz derslik, bir bilgisayar laboratuvarı ve teknik dersler ile uygulamalı eğitimlerde kullanılan üç uygulama laboratuvarı bulunmaktadır. Derslikler, öğrencilerin öğrenme gereksinimlerini karşılayacak şekilde ergonomik olarak düzenlenmiş, bilgisayar ve projeksiyon sistemleriyle donatılmış olup, çağdaş ebelik eğitiminin gerektirdiği teknik altyapıya sahiptir. [</w:t>
      </w:r>
      <w:r>
        <w:fldChar w:fldCharType="begin"/>
      </w:r>
      <w:r>
        <w:instrText xml:space="preserve"> HYPERLINK "https://www.ksu.edu.tr/depo/duyuru_belge/2025-2026%20G%C3%9CZ%20EBEL%C4%B0K%20BECER%C4%B0%20LABORATUVARI%20%C3%96%C4%9ERENC%C4%B0%20KULLANIM%20ROTASYONU_2510211642252741.pdf"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Sınıflar, öğrencilerin eğitim-öğretim gereksinimlerini karşılayacak biçimde ergonomik olarak düzenlenmiş, bilgisayar ve projeksiyon cihazlarıyla donatılmış teknik altyapıya sahiptir. Derslerde kullanılan projeksiyon sistemleri, öğretim elemanlarına görsel ve ilgi çekici sunumlarla ders anlatma olanağı sağlarken; öğrencilere de farklı konularda sunum yaparak kendilerini ifade etme ve mesleki özgüven geliştirme fırsatı sunmaktadır. Ayrıca tüm sınıflarda internet erişimi bulunmakta olup, ders sürecinde dijital ve çevrim içi öğrenme kaynaklarının etkin kullanımına imkân tanınmaktadır. Ebelik bölümünde Uzaktan eğitim programı veya uzaktan eğitim dersleri eğitim yönetim sistemi (EYS) üzerinden yürütülmektedir [</w:t>
      </w:r>
      <w:r>
        <w:fldChar w:fldCharType="begin"/>
      </w:r>
      <w:r>
        <w:instrText xml:space="preserve"> HYPERLINK "https://eys.ksu.edu.tr/almsp"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Öğrencilerin kullanımına sunulan merkez kütüphanede bulunan kitap sayısı gün içinde güncellenmektedir. Kütüphanede bilgisayar ortamına aktarılarak okuyucu hizmetine sunulan her türlü yayın bulunmaktadır. Kitaplar açık raf sistemine göre raflara dizilmiştir. Raf yerleşim planı bulunan kütüphanede aranan kitaplar kolaylıkla bulunabilmektedir. Kütüphanede 107. 898 kitap, 40.439 e- kitap yer almakla birlikte online kaynaklara erişim sağlanmaktadır [</w:t>
      </w:r>
      <w:r>
        <w:fldChar w:fldCharType="begin"/>
      </w:r>
      <w:r>
        <w:instrText xml:space="preserve"> HYPERLINK "https://kutuphane.ksu.edu.tr/"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Öğrenci ve öğretim elemanı geri bildirimleri yapılmaktadır [</w:t>
      </w:r>
      <w:r>
        <w:fldChar w:fldCharType="begin"/>
      </w:r>
      <w:r>
        <w:instrText xml:space="preserve"> HYPERLINK "https://kddb.ksu.edu.tr/Default.aspx?SId=164"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Bologna Bilgi Paketinde her ders için kaynak belirtilmiştir [</w:t>
      </w:r>
      <w:r>
        <w:fldChar w:fldCharType="begin"/>
      </w:r>
      <w:r>
        <w:instrText xml:space="preserve"> HYPERLINK "https://obs.ksu.edu.tr/oibs/bologna/index.aspx?lang=tr&amp;curOp=showPac&amp;curUnit=34&amp;curSunit=10136"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p w14:paraId="122530A6">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B.3.2. Akademik destek hizmetleri</w:t>
      </w:r>
    </w:p>
    <w:p w14:paraId="4ADC232A">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026F37D">
      <w:pPr>
        <w:spacing w:line="360" w:lineRule="auto"/>
        <w:jc w:val="both"/>
      </w:pPr>
      <w:r>
        <w:rPr>
          <w:rFonts w:ascii="Times New Roman" w:hAnsi="Times New Roman" w:eastAsia="Times New Roman" w:cs="Times New Roman"/>
          <w:sz w:val="24"/>
          <w:szCs w:val="24"/>
        </w:rPr>
        <w:t>Programda Akademik Danışmanlık sürecinin eşgüdümlü işleyebilmesi amacıyla Kahramanmaraş Sütçü İmam Üniversitesi Akademik Danışmanlık Yönergesine [</w:t>
      </w:r>
      <w:r>
        <w:fldChar w:fldCharType="begin"/>
      </w:r>
      <w:r>
        <w:instrText xml:space="preserve"> HYPERLINK "https://oidb.ksu.edu.tr/Default.aspx?SId=9572"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paralel olarak öğrencilerin akademik gelişimini takip eden, yön gösteren, akademik sorunlarına ve kariyer planlamasına destek olan bir danışman bulunmaktadır. Akademik Danışmanlık listeleri belirlenmiş ve hemşirelik bölümü web adresinde paylaşılmıştır [</w:t>
      </w:r>
      <w:r>
        <w:fldChar w:fldCharType="begin"/>
      </w:r>
      <w:r>
        <w:instrText xml:space="preserve"> HYPERLINK "https://sbfhemsirelik.ksu.edu.tr/depo/belgeler/2024-2025%20E%C4%9Fitim-%C3%96%C4%9Fretim%20Y%C4%B1l%C4%B1%20Hem%C5%9Firelik%20B%C3%B6l%C3%BCm%C3%BC%20%C3%96%C4%9Frenci%20Dan%C4%B1%C5%9Fman%20Bilgileri_2411210944099002.pdf"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bölümünde her danışman öğretim elemanı haftalık programında danışmanlık saati belirlemiş olup, bu program öğretim elemanı odasının kapısında dönem sonuna kadar aslı tutulmaktadır. Öğrenciler bölüme kayıt yaptırdıktan sonra Öğrenci Danışmanlığı İlk Değerlendirme Formu [</w:t>
      </w:r>
      <w:r>
        <w:fldChar w:fldCharType="begin"/>
      </w:r>
      <w:r>
        <w:instrText xml:space="preserve"> HYPERLINK "https://sbfhemsirelik.ksu.edu.tr/depo/belgeler/%C4%B0LK%20DANI%C5%9EMANLIK%20FORMU_1812051554207946_2409271500335770.pdf"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danışman tarafından doldurulmakta ve Öğrenci Danışmanlığı Takip Değerlendirme Formu ile takibi yapılmaktadır [</w:t>
      </w:r>
      <w:r>
        <w:fldChar w:fldCharType="begin"/>
      </w:r>
      <w:r>
        <w:instrText xml:space="preserve"> HYPERLINK "https://sbfhemsirelik.ksu.edu.tr/depo/belgeler/DANI%C5%9EMANLIK%20TAK%C4%B0P%20FORMU_1812051555541539_2409271505274917.pdf"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Öğrencilerin danışman değerlendirmesi için Öğrenci Akademik Danışman Memnuniyet Anketi oluşturulmuştur [</w:t>
      </w:r>
      <w:r>
        <w:fldChar w:fldCharType="begin"/>
      </w:r>
      <w:r>
        <w:instrText xml:space="preserve"> HYPERLINK "https://sbfhemsirelik.ksu.edu.tr/depo/belgeler/%C3%96%C4%9Frenci%20Akademik%20Dan%C4%B1%C5%9Fman%20Memnuniyet%20Anketi_2412121045386153.pdf"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Danışmanlık sistemi öğrenci portfolyosu oluşturulmaya karar verilmiştir. Ön lisans, lisans ve lisansüstü öğrencilerine, üniversite personeline ve sivil toplumdan bireylere psikolojik destek hizmeti sağlamak, psikoloji alanında eğitimler düzenlemek ve araştırma yapmak üzere hizmet veren KSU Psikolojik Danışma ve Rehberlik Birimi mevcuttur [</w:t>
      </w:r>
      <w:r>
        <w:fldChar w:fldCharType="begin"/>
      </w:r>
      <w:r>
        <w:instrText xml:space="preserve"> HYPERLINK "https://www.ksu.edu.tr/default.aspx?DId=37097"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KSU Psikolojik Danışma ve Rehberlik Birimi öğrencilerin bireysel, sosyal, akademik ve mesleki gelişimlerine destek olmayı aynı zamanda üniversite ve yurt yaşamına uyumlarını kolaylaştırmayı ve bu süreçte ortaya çıkabilecek çeşitli sorunlarla başetme konusunda gerekli becerileri kazandırmayı hedeflemektedir. Ayrıca 2024-2025 eğitim-öğretim yılında bölümde Psikososyal Danışma Komisyonu kurulmuş, görev tanımı ve iş akış planlı belirlenmiştir [</w:t>
      </w:r>
      <w:r>
        <w:fldChar w:fldCharType="begin"/>
      </w:r>
      <w:r>
        <w:instrText xml:space="preserve"> HYPERLINK "https://sbfhemsirelik.ksu.edu.tr/Default.aspx?SId=32660"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Programda mezunlarının mesleki kariyer gelişimleri takip edilmekte ve görüşlerine başvurulmaktadır. Mezunların görüş ve önerileri web sayfasında bulunan Mezun Takip Sistemi ile sorulmaktadır [</w:t>
      </w:r>
      <w:r>
        <w:fldChar w:fldCharType="begin"/>
      </w:r>
      <w:r>
        <w:instrText xml:space="preserve"> HYPERLINK "https://obs.ksu.edu.tr/oibs/kariyer/"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Aynı zamanda mezun öğrencilerle için Mezunlar İzleme Komisyonu kurulmuş, görev tanımı ve iş akış planlı belirlenmiştir [</w:t>
      </w:r>
      <w:r>
        <w:fldChar w:fldCharType="begin"/>
      </w:r>
      <w:r>
        <w:instrText xml:space="preserve"> HYPERLINK "https://sbfhemsirelik.ksu.edu.tr/Default.aspx?SId=32661"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Öğrencilerle hızlı bir şekilde iletişime geçmek, görüş, istek ve önerilerini almak için bölüme ait resmi Instagram sosyal medya hesabı açılmıştır [</w:t>
      </w:r>
      <w:r>
        <w:fldChar w:fldCharType="begin"/>
      </w:r>
      <w:r>
        <w:instrText xml:space="preserve"> HYPERLINK "https://www.instagram.com/ksuhemsirelik/"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Ayrıca WhatsApp gruplarında Akademik Danışmanlık Grupları oluşturulmuştur. Hemşirelik bölümüne ait web sayfası bulunmaktadır. Web ortamında hem bölüm personelinin hem de öğrencilerin gereksinimlerine yönelik tüm bilgiler yer almaktadır. Öğrenci Bilgi Sistemi (OBS) ve Elektronik Belge Yönetim Sistemi (EBYS), telefon rehberi gibi kayıt sistemleri bulunmaktadır. Hemşirelik bölümündeki tüm yazışmalar EBYS ile merkezi olarak yapılmakta ve elektronik olarak arşivlenmektedir. Bölümde öğrenci işlemleri için OBS (Öğrenci Bilgi Sistemi) yazılım sistemi kullanılmaktadır. Öğrenciler OBS’ye öğrenci numaraları ve belirledikleri şifre ile girebilecekleri gibi e-devlet şifreleri ile de erişebilmektedirler [</w:t>
      </w:r>
      <w:r>
        <w:fldChar w:fldCharType="begin"/>
      </w:r>
      <w:r>
        <w:instrText xml:space="preserve"> HYPERLINK "https://obs.ksu.edu.tr/"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7A3DE2B0">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08EC37A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Fizyoterapi ve Rehabilitasyon bölüm bünyesinde her sınıf için ayrı belirlenen öğretim üyelerinden oluşan danışman öğretim elemanları bulunmaktadır. Danışman öğretim üyelerinin görev, yetki ve sorumlulukları “KSU Akademik Danışmanlık Yönergesi” nde belirlenerek, fakültemizin web sayfasında bulunmaktadır. Ayrıca bölüm bünyesinde her eğitim öğretim yarıyılı başında 1. Sınıf öğrencilerine Sağlık Bilimleri Fakültesi Dekanı ve bölüm öğretim elemanlarından oluşan bir tanışma ve oryantasyon programı düzenlenlenmektedir. Bu oryantasyon eğitimi her yıl web sayfasında duyurulmaktadır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"https://saglik.ksu.edu.tr/Default.aspx?SId=21853"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 Ayrıca fakültemizde her bölümde danışman öğretim elemanı görüşme saatleri belirlenmektedir. Bölümümüzde öğrencilerin akademik gelişimini takip etmek, kariyer planlamasına yön vermek amaçlı belirlenen danışmanlık saatlerinde öğrencilerle yüzyüze görüşme sağlanmaktadır. Bu danışmanlık saatleri sınıf temsilcileriyle öğrencilere whatsapp yoluyla iletilmektedir.</w:t>
      </w:r>
    </w:p>
    <w:p w14:paraId="69206DD7">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Her yarıyıl başında danışmanlık saatlerinin öğretim elemanlarının kapılarında asılması sağlanmıştır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"https://saglik.ksu.edu.tr/default.aspx?DId=59944" </w:instrText>
      </w:r>
      <w:r>
        <w:rPr>
          <w:rFonts w:hint="default" w:ascii="Times New Roman" w:hAnsi="Times New Roman" w:cs="Times New Roman"/>
          <w:sz w:val="24"/>
          <w:szCs w:val="24"/>
        </w:rPr>
        <w:fldChar w:fldCharType="separate"/>
      </w:r>
      <w:r>
        <w:rPr>
          <w:rStyle w:val="20"/>
          <w:rFonts w:hint="default" w:ascii="Times New Roman" w:hAnsi="Times New Roman" w:cs="Times New Roman"/>
          <w:sz w:val="24"/>
          <w:szCs w:val="24"/>
        </w:rPr>
        <w:t>[OD3]</w:t>
      </w:r>
      <w:r>
        <w:rPr>
          <w:rStyle w:val="20"/>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32E7160">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6CE3E46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Programda Akademik Danışmanlık sürecinin eşgüdümlü işleyebilmesi amacıyla Kahramanmaraş Sütçü İmam Üniversitesi Akademik Danışmanlık Yönergesine [</w:t>
      </w:r>
      <w:r>
        <w:fldChar w:fldCharType="begin"/>
      </w:r>
      <w:r>
        <w:instrText xml:space="preserve"> HYPERLINK "https://oidb.ksu.edu.tr/Default.aspx?SId=9572"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paralel olarak öğrencilerin akademik gelişimini takip eden, yön gösteren, akademik sorunlarına ve kariyer planlamasına destek olan bir danışman bulunmaktadır. Akademik Danışmanlık listeleri belirlenmiş ve Ebelik bölümü web adresinde paylaşılmıştır [</w:t>
      </w:r>
      <w:r>
        <w:fldChar w:fldCharType="begin"/>
      </w:r>
      <w:r>
        <w:instrText xml:space="preserve"> HYPERLINK "https://sbfhemsirelik.ksu.edu.tr/depo/belgeler/2024-2025%20E%C4%9Fitim-%C3%96%C4%9Fretim%20Y%C4%B1l%C4%B1%20Hem%C5%9Firelik%20B%C3%B6l%C3%BCm%C3%BC%20%C3%96%C4%9Frenci%20Dan%C4%B1%C5%9Fman%20Bilgileri_2411210944099002.pdf"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Ebelik bölümünde her danışman öğretim elemanı haftalık programında danışmanlık saati belirlemiş olup, bu program öğretim elemanı odasının kapısında dönem sonuna kadar aslı tutulmaktadır. Öğrenciler bölüme kayıt yaptırdıktan sonra Öğrenci Danışmanlığı İlk Değerlendirme Formu [</w:t>
      </w:r>
      <w:r>
        <w:fldChar w:fldCharType="begin"/>
      </w:r>
      <w:r>
        <w:instrText xml:space="preserve"> HYPERLINK "https://sbfebelik.ksu.edu.tr/depo/belgeler/%C4%B0LK%20DANI%C5%9EMANLIK%20FORMU_1812051554207946_2409271500335770%20(1)_2506191302473563.pdf"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danışman tarafından doldurulmakta ve Öğrenci Danışmanlığı Takip Değerlendirme Formu ile takibi yapılmaktadır [</w:t>
      </w:r>
      <w:r>
        <w:fldChar w:fldCharType="begin"/>
      </w:r>
      <w:r>
        <w:instrText xml:space="preserve"> HYPERLINK "https://sbfebelik.ksu.edu.tr/depo/belgeler/DANI%C5%9EMANLIK%20TAK%C4%B0P%20FORMU_1812051555541539_2409271505274917_2506191303021375.pdf"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Öğrencilerin danışman değerlendirmesi için Öğrenci Akademik Danışman Memnuniyet Anketi oluşturulmuştur [</w:t>
      </w:r>
      <w:r>
        <w:fldChar w:fldCharType="begin"/>
      </w:r>
      <w:r>
        <w:instrText xml:space="preserve"> HYPERLINK "https://sbfebelik.ksu.edu.tr/depo/belgeler/%C4%B0LK%20DANI%C5%9EMANLIK%20FORMU_1812051554207946_2409271500335770%20(1)_2506191302473563.pdf"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Danışmanlık sistemi öğrenci portfolyosu oluşturulmaya karar verilmiştir. Ön lisans, lisans ve lisansüstü öğrencilerine, üniversite personeline ve sivil toplumdan bireylere psikolojik destek hizmeti sağlamak, psikoloji alanında eğitimler düzenlemek ve araştırma yapmak üzere hizmet veren KSU Psikolojik Danışma ve Rehberlik Birimi mevcuttur [</w:t>
      </w:r>
      <w:r>
        <w:fldChar w:fldCharType="begin"/>
      </w:r>
      <w:r>
        <w:instrText xml:space="preserve"> HYPERLINK "https://www.ksu.edu.tr/default.aspx?DId=37097"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KSU Psikolojik Danışma ve Rehberlik Birimi öğrencilerin bireysel, sosyal, akademik ve mesleki gelişimlerine destek olmayı aynı zamanda üniversite ve yurt yaşamına uyumlarını kolaylaştırmayı ve bu süreçte ortaya çıkabilecek çeşitli sorunlarla başetme konusunda gerekli becerileri kazandırmayı hedeflemektedir. Programda mezunlarının mesleki kariyer gelişimleri takip edilmekte ve görüşlerine başvurulmaktadır. Mezunların görüş ve önerileri web sayfasında bulunan Mezun Takip Sistemi ile sorulmaktadır [</w:t>
      </w:r>
      <w:r>
        <w:fldChar w:fldCharType="begin"/>
      </w:r>
      <w:r>
        <w:instrText xml:space="preserve"> HYPERLINK "https://obs.ksu.edu.tr/oibs/kariyer/"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Öğrencilerle hızlı bir şekilde iletişime geçmek, görüş, istek ve önerilerini almak için bölüme ait resmi Instagram sosyal medya hesabı açılmıştır [</w:t>
      </w:r>
      <w:r>
        <w:fldChar w:fldCharType="begin"/>
      </w:r>
      <w:r>
        <w:instrText xml:space="preserve"> HYPERLINK "https://www.instagram.com/ksu.ebelik/"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Ebelik bölümüne ait web sayfası bulunmaktadır. Web ortamında hem bölüm personelinin hem de öğrencilerin gereksinimlerine yönelik tüm bilgiler yer almaktadır. Öğrenci Bilgi Sistemi (OBS) ve Elektronik Belge Yönetim Sistemi (EBYS), telefon rehberi gibi kayıt sistemleri bulunmaktadır. Ebelik bölümündeki tüm yazışmalar EBYS ile merkezi olarak yapılmakta ve elektronik olarak arşivlenmektedir. Bölümde öğrenci işlemleri için OBS (Öğrenci Bilgi Sistemi) yazılım sistemi kullanılmaktadır. Öğrenciler OBS’ye öğrenci numaraları ve belirledikleri şifre ile girebilecekleri gibi e-devlet şifreleri ile de erişebilmektedirler [</w:t>
      </w:r>
      <w:r>
        <w:fldChar w:fldCharType="begin"/>
      </w:r>
      <w:r>
        <w:instrText xml:space="preserve"> HYPERLINK "https://obs.ksu.edu.tr/"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p w14:paraId="29482775">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B.3.3. Tesis ve altyapılar </w:t>
      </w:r>
    </w:p>
    <w:p w14:paraId="5BD9EA5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2CC68C96">
      <w:pPr>
        <w:spacing w:line="360" w:lineRule="auto"/>
        <w:jc w:val="both"/>
      </w:pPr>
      <w:r>
        <w:rPr>
          <w:rFonts w:ascii="Times New Roman" w:hAnsi="Times New Roman" w:eastAsia="Times New Roman" w:cs="Times New Roman"/>
          <w:sz w:val="24"/>
          <w:szCs w:val="24"/>
        </w:rPr>
        <w:t>Akademik, idari personel ve öğrencilere memnuniyetinin [</w:t>
      </w:r>
      <w:r>
        <w:fldChar w:fldCharType="begin"/>
      </w:r>
      <w:r>
        <w:instrText xml:space="preserve"> HYPERLINK "https://sbfhemsirelik.ksu.edu.tr/depo/belgeler/AKADEM%C4%B0K%20PERSONEL%20MEMNUN%C4%B0YET%20ANKET%C4%B0_2411221606456769.pdf"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w:t>
      </w:r>
      <w:r>
        <w:fldChar w:fldCharType="begin"/>
      </w:r>
      <w:r>
        <w:instrText xml:space="preserve"> HYPERLINK "https://sbfhemsirelik.ksu.edu.tr/depo/belgeler/%C4%B0dari%20Personel%20Memnun%C4%B1%CC%87yet%20Anket%C4%B1%CC%87_2412051544458663.pdf"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w:t>
      </w:r>
      <w:r>
        <w:fldChar w:fldCharType="begin"/>
      </w:r>
      <w:r>
        <w:instrText xml:space="preserve"> HYPERLINK "https://sbfhemsirelik.ksu.edu.tr/depo/belgeler/%C4%B0%C3%87%20PAYDA%C5%9E%20%C3%B6%C4%9Frenciler%20%20PAYDAS%CC%A7%20MEMNUNI%CC%87YET%20DEG%CC%86ERLENDI%CC%87RME%20ANKETI%CC%87_2412130852170122.pdf"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düşük çıktığı alanlar (beslenme, ulaşım imkanları, temizlik hizmetleri, dersliklerin fiziki şartları, sosyal alanlar) fakülte yönetimi ile paylaşılmıştır [</w:t>
      </w:r>
      <w:r>
        <w:fldChar w:fldCharType="begin"/>
      </w:r>
      <w:r>
        <w:instrText xml:space="preserve"> HYPERLINK "https://sbfhemsirelik.ksu.edu.tr/depo/belgeler/HEM%C5%9E%C4%B0REL%C4%B0KANKETSONU%C3%87LARI2024.docx12.02.2025_2502141521470566.pdf"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Sağlık Bilimleri Fakültesi ve Teknik Bilimleri Meslek Yüksekokulu ile bir arada yeni binada 2024-2025 eğitim-öğretim yılına başlamıştır. Binanın yeni hizmete açılması sebebiyle kantin ve yemekhane sonradan hizmete açılmıştır. Derslikler için her sınıfa bilgisayar, projeksiyon eklenmiş olup, merkezi sistem ısıtma ile ısıtılmaktadır. Memnuniyet anketlerinde düşük çıkan alanda iyileştirmeler yapılmıştır. Üniversite bünyesinde spor tesisi bulunmakta ve kullanımı sağlanmaktadır [</w:t>
      </w:r>
      <w:r>
        <w:fldChar w:fldCharType="begin"/>
      </w:r>
      <w:r>
        <w:instrText xml:space="preserve"> HYPERLINK "https://www.ksu.edu.tr/default.aspx?DId=10421"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w:t>
      </w:r>
      <w:r>
        <w:fldChar w:fldCharType="begin"/>
      </w:r>
      <w:r>
        <w:instrText xml:space="preserve"> HYPERLINK "https://skdb.ksu.edu.tr/default.aspx?DId=89463"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Öğretim elemanları görüşleri doğrultusunda, fakültenin fiziki şartların (bina, ofis gibi) ve laboratuvarların genel olarak alt yapısı hizmetlerin yetersiz olduğu belirlendi. İdari personel görüşleri doğrultusunda fiziksel olanaklardan genel olarak memnuniyet düşük olduğu saptandı. Fiziki alana ilişkin yetersizlikler sürekli iyileştirme kapsamına alınmıştır. Hemşirelik Programının Klinik/Alan Uygulamalarının Anabilim Dalları tarafında Uygulama Alanını Değerlendirme Anket Formu ile değerlendirilmesi yapılmaktadır [</w:t>
      </w:r>
      <w:r>
        <w:fldChar w:fldCharType="begin"/>
      </w:r>
      <w:r>
        <w:instrText xml:space="preserve"> HYPERLINK "https://sbfhemsirelik.ksu.edu.tr/depo/belgeler/Uygulama%20Alan%C4%B1n%C4%B1%20De%C4%9Ferlendirme%20Formu_2411221634251571.pdf"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w:t>
      </w:r>
      <w:r>
        <w:fldChar w:fldCharType="begin"/>
      </w:r>
      <w:r>
        <w:instrText xml:space="preserve"> HYPERLINK "https://sbfhemsirelik.ksu.edu.tr/depo/belgeler/%C3%96%C4%9Frenci%20Laboratuvar%20Uygulama%20De%C4%9Ferlendirme%20Formu_2411221704158649.pdf"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w:t>
      </w:r>
      <w:r>
        <w:fldChar w:fldCharType="begin"/>
      </w:r>
      <w:r>
        <w:instrText xml:space="preserve"> HYPERLINK "https://sbfhemsirelik.ksu.edu.tr/depo/belgeler/laboratuvar%20kullan%C4%B1m%20talimatlar%C4%B1%20(1)_2501281003549324.pdf"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5200B45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8B533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Sağlık Bilimleri Fakültesi bünyesinde Avşar kampüsünde 1 adet öğrenci yemekhanesi ve spor salonu, kütüphane, öğrenci işleri birimi bulunmaktadır </w:t>
      </w:r>
      <w:r>
        <w:fldChar w:fldCharType="begin"/>
      </w:r>
      <w:r>
        <w:instrText xml:space="preserve"> HYPERLINK "https://ogrrehber.ksu.edu.tr/Default.aspx?SId=23454"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Üniversitemiz bünyesinde çeşitli barınma olanakları; “KYK Kahramanmaraş Avşar Kız Öğrenci Yurdu” ve diğerleri üniversitemiz web sayfasında ilan edilmiştir. Avşar kampüsüne taşınılmıştır. </w:t>
      </w:r>
      <w:r>
        <w:fldChar w:fldCharType="begin"/>
      </w:r>
      <w:r>
        <w:instrText xml:space="preserve"> HYPERLINK "https://www.kykyurtlar.com/kahramanmaras-yurdu-54761-kyk-%20yurdu/"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0012930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EEFCC38">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Sağlık Bilimleri Fakültesi ve Teknik Bilimleri Meslek Yüksekokulu ile bir arada yeni binada 2024-2025 eğitim-öğretim yılına başlamıştır. Binanın yeni hizmete açılması sebebiyle kantin ve yemekhane sonradan hizmete açılmıştır. Derslikler için her sınıfa bilgisayar, projeksiyon eklenmiş olup, merkezi sistem ısıtma ile ısıtılmaktadır. Memnuniyet anketlerinde düşük çıkan alanda iyileştirmeler yapılmıştır. Üniversite bünyesinde spor tesisi bulunmakta ve kullanımı sağlanmaktadır [</w:t>
      </w:r>
      <w:r>
        <w:fldChar w:fldCharType="begin"/>
      </w:r>
      <w:r>
        <w:instrText xml:space="preserve"> HYPERLINK "https://www.ksu.edu.tr/default.aspx?DId=10421"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w:t>
      </w:r>
      <w:r>
        <w:fldChar w:fldCharType="begin"/>
      </w:r>
      <w:r>
        <w:instrText xml:space="preserve"> HYPERLINK "https://skdb.ksu.edu.tr/default.aspx?DId=89463"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Öğretim elemanları görüşleri doğrultusunda, fakültenin fiziki şartların (bina, ofis gibi) ve laboratuvarların genel olarak alt yapısı hizmetlerin yetersiz olduğu belirlendi. İdari personel görüşleri doğrultusunda fiziksel olanaklardan genel olarak memnuniyet düşük olduğu saptandı. </w:t>
      </w:r>
    </w:p>
    <w:p w14:paraId="10861C89">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B.3.4. Dezavantajlı gruplar</w:t>
      </w:r>
    </w:p>
    <w:p w14:paraId="1B82563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398AABC8">
      <w:pPr>
        <w:spacing w:line="360" w:lineRule="auto"/>
        <w:jc w:val="both"/>
      </w:pPr>
      <w:r>
        <w:rPr>
          <w:rFonts w:ascii="Times New Roman" w:hAnsi="Times New Roman" w:eastAsia="Times New Roman" w:cs="Times New Roman"/>
          <w:sz w:val="24"/>
          <w:szCs w:val="24"/>
        </w:rPr>
        <w:t>Üniversitemizde “Engelli Öğrenci Birim” [</w:t>
      </w:r>
      <w:r>
        <w:fldChar w:fldCharType="begin"/>
      </w:r>
      <w:r>
        <w:instrText xml:space="preserve"> HYPERLINK "https://engelsiz.ksu.edu.tr/Default.aspx?SId=182"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bölüm temsilciliği bulunmakta [</w:t>
      </w:r>
      <w:r>
        <w:fldChar w:fldCharType="begin"/>
      </w:r>
      <w:r>
        <w:instrText xml:space="preserve"> HYPERLINK "https://engelsiz.ksu.edu.tr/Default.aspx?SId=29961"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engelliler için erişilebilir hale gelmesi için gerekli çalışmaları yürütmektedir. Engelli bireylere yönelik bina girişinde sarı kabartma şeritleri mevcuttur. Bina merdivenleri fiziksel engelliler için uygun şartları taşımamaktadır. Bu nedenle personelimizin kullandığı asansörlerin kart ile kontrollü kullanımı bulunmakta, engeli bulunan öğrencilere de kart verilerek ya da güvenlik tarafından yardım edilerek asansör kullanımı sağlanmaktadır. Hemşirelik lisans programında engelli öğrenci bulunmamaktadır. KSU, Engelli Öğrenci Birimi bulunmakta olup, Engelsiz Üniversite Bayrak Ödülleri almıştır [</w:t>
      </w:r>
      <w:r>
        <w:fldChar w:fldCharType="begin"/>
      </w:r>
      <w:r>
        <w:instrText xml:space="preserve"> HYPERLINK "https://engelsiz.ksu.edu.tr/Default.aspx?SId=30179"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Üniversitemiz Engelli Öğrenci Birimi çalışmalarını içeren faaliyet raporları ekte yer almaktadır [</w:t>
      </w:r>
      <w:r>
        <w:fldChar w:fldCharType="begin"/>
      </w:r>
      <w:r>
        <w:instrText xml:space="preserve"> HYPERLINK "https://engelsiz.ksu.edu.tr/depo/belgeler/2024-2025%20faaliyetlerimiz_2503131334256004_2503131336177821.pdf"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4A299D77">
      <w:pPr>
        <w:pStyle w:val="2"/>
        <w:spacing w:line="360" w:lineRule="auto"/>
        <w:rPr>
          <w:rFonts w:ascii="Times New Roman" w:hAnsi="Times New Roman" w:cs="Times New Roman"/>
          <w:color w:val="auto"/>
          <w:sz w:val="22"/>
          <w:szCs w:val="22"/>
        </w:rPr>
      </w:pPr>
    </w:p>
    <w:p w14:paraId="7231D8B0">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4DEDDD76">
      <w:pPr>
        <w:spacing w:line="360" w:lineRule="auto"/>
        <w:jc w:val="both"/>
        <w:rPr>
          <w:rFonts w:hint="default" w:ascii="Times New Roman" w:hAnsi="Times New Roman" w:cs="Times New Roman"/>
          <w:sz w:val="24"/>
          <w:szCs w:val="24"/>
          <w:lang w:val="tr-TR"/>
        </w:rPr>
      </w:pPr>
      <w:r>
        <w:rPr>
          <w:rFonts w:ascii="Times New Roman" w:hAnsi="Times New Roman" w:cs="Times New Roman"/>
          <w:sz w:val="24"/>
          <w:szCs w:val="24"/>
        </w:rPr>
        <w:t xml:space="preserve">Kurumun genelinde tesis ve altyapı erişilebilirdir ve bunlardan fırsat eşitliğine dayalı olarak yararlanılmaktadır. Ayrıca kurum genelinde planlamalar dahilinde psikolojik danışmanlık ve kariyer hizmetleri uygulanmaktadır. Üniversitemiz ve bölümümüz bünyesindeki dezavantajlı gruplara özgü uygulamalar üniversitemizin web sayfasında ilan edilmiştir. Ayrıca Sağlık Bilimleri Fakültesi’nde Engelli Öğrenci Birim Temsilcisi Öğr. Gör. Ruşen Darendeli olarak belirlenmiştir </w:t>
      </w:r>
      <w:r>
        <w:fldChar w:fldCharType="begin"/>
      </w:r>
      <w:r>
        <w:instrText xml:space="preserve"> HYPERLINK "https://engelsiz.ksu.edu.tr/Default.aspx?SId=29961"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 Birim temsilcisi olarak çeşitli projelerin geliştirilmesiyle, fizibilite ve araştırma çalışmalarının yapılması planlanmaktadır. Sağlık Bilimleri Fakültesi olarak taşındığımız Teknik Bilimler Meslek Yüksekokulu Avşar yerleşkesinde üniversitemiz giriş çıkış ve asansör tasarımları dezavantajlı gruplara uygun tasarlanmıştır.</w:t>
      </w:r>
    </w:p>
    <w:p w14:paraId="0CC3C875">
      <w:pPr>
        <w:pStyle w:val="2"/>
        <w:spacing w:line="360" w:lineRule="auto"/>
        <w:rPr>
          <w:rFonts w:ascii="Times New Roman" w:hAnsi="Times New Roman" w:cs="Times New Roman"/>
          <w:color w:val="auto"/>
          <w:sz w:val="22"/>
          <w:szCs w:val="22"/>
        </w:rPr>
      </w:pPr>
    </w:p>
    <w:p w14:paraId="7D52C2EF">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C18559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Üniversitemizde “Engelli Öğrenci Birim” [</w:t>
      </w:r>
      <w:r>
        <w:fldChar w:fldCharType="begin"/>
      </w:r>
      <w:r>
        <w:instrText xml:space="preserve"> HYPERLINK "https://engelsiz.ksu.edu.tr/Default.aspx?SId=182"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bölüm temsilciliği bulunmakta [</w:t>
      </w:r>
      <w:r>
        <w:fldChar w:fldCharType="begin"/>
      </w:r>
      <w:r>
        <w:instrText xml:space="preserve"> HYPERLINK "https://engelsiz.ksu.edu.tr/Default.aspx?SId=29961"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engelliler için erişilebilir hale gelmesi için gerekli çalışmaları yürütmektedir. Engelli bireylere yönelik bina girişinde sarı kabartma şeritleri mevcuttur. Bina merdivenleri fiziksel engelliler için uygun şartları taşımamaktadır. Bu nedenle personelimizin kullandığı asansörlerin kart ile kontrollü kullanımı bulunmakta, engeli bulunan öğrencilere de kart verilerek ya da güvenlik tarafından yardım edilerek asansör kullanımı sağlanmaktadır. Ebelik lisans programında engelli öğrenci bulunmamaktadır. KSU, Engelli Öğrenci Birimi bulunmakta olup, Engelsiz Üniversite Bayrak Ödülleri almıştır [</w:t>
      </w:r>
      <w:r>
        <w:fldChar w:fldCharType="begin"/>
      </w:r>
      <w:r>
        <w:instrText xml:space="preserve"> HYPERLINK "https://engelsiz.ksu.edu.tr/Default.aspx?SId=30179"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Üniversitemiz Engelli Öğrenci Birimi çalışmalarını içeren faaliyet raporları ekte yer almaktadır [</w:t>
      </w:r>
      <w:r>
        <w:fldChar w:fldCharType="begin"/>
      </w:r>
      <w:r>
        <w:instrText xml:space="preserve"> HYPERLINK "https://engelsiz.ksu.edu.tr/depo/belgeler/2024-2025%20faaliyetlerimiz_2503131334256004_2503131336177821.pdf"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w:t>
      </w:r>
    </w:p>
    <w:p w14:paraId="7236BAB5">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B.3.5. Sosyal, kültürel, sportif faaliyetler</w:t>
      </w:r>
    </w:p>
    <w:p w14:paraId="31F9CADE">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38FE3812">
      <w:pPr>
        <w:spacing w:line="360" w:lineRule="auto"/>
        <w:jc w:val="both"/>
      </w:pPr>
      <w:r>
        <w:rPr>
          <w:rFonts w:ascii="Times New Roman" w:hAnsi="Times New Roman" w:eastAsia="Times New Roman" w:cs="Times New Roman"/>
          <w:sz w:val="24"/>
          <w:szCs w:val="24"/>
        </w:rPr>
        <w:t>Kurumun genelinde sosyal, kültürel ve sportif faaliyetler erişilebilirdir ve bunlardan fırsat eşitliğine dayalı olarak yararlanılmaktadır. Hemşirelik bölümü web sayfasında [</w:t>
      </w:r>
      <w:r>
        <w:fldChar w:fldCharType="begin"/>
      </w:r>
      <w:r>
        <w:instrText xml:space="preserve"> HYPERLINK "https://sbfhemsirelik.ksu.edu.tr/"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Instagram hesabında [</w:t>
      </w:r>
      <w:r>
        <w:fldChar w:fldCharType="begin"/>
      </w:r>
      <w:r>
        <w:instrText xml:space="preserve"> HYPERLINK "https://www.instagram.com/ksuhemsirelik/"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sosyal, kültürel, sportif faaliyetler, etkinlikler duyurulmaktadır. Ayrıca bölümümüzde 2 adet aktif öğrenci topluluğu bulunmaktadır [</w:t>
      </w:r>
      <w:r>
        <w:fldChar w:fldCharType="begin"/>
      </w:r>
      <w:r>
        <w:instrText xml:space="preserve"> HYPERLINK "https://otyb.ksu.edu.tr/Default.aspx?SId=32537"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Topluluklar faaliyetlerini Öğrenci Toplulukları Yönergesine [</w:t>
      </w:r>
      <w:r>
        <w:fldChar w:fldCharType="begin"/>
      </w:r>
      <w:r>
        <w:instrText xml:space="preserve"> HYPERLINK "https://otyb.ksu.edu.tr/Default.aspx?SId=7481"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göre sürdürmektedir. Topluluklar faaliyetlerini gerçekleştirmek için Topluluk Faaliyet Talep Formu [</w:t>
      </w:r>
      <w:r>
        <w:fldChar w:fldCharType="begin"/>
      </w:r>
      <w:r>
        <w:instrText xml:space="preserve"> HYPERLINK "https://otyb.ksu.edu.tr/Default.aspx?SId=7481"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Topluluk Faaliyet Taslak Formu [</w:t>
      </w:r>
      <w:r>
        <w:fldChar w:fldCharType="begin"/>
      </w:r>
      <w:r>
        <w:instrText xml:space="preserve"> HYPERLINK "https://otyb.ksu.edu.tr/Default.aspx?SId=7481"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Konferans Salonu ya da Yerleşke Dışı Etkinlik Talep Formu [</w:t>
      </w:r>
      <w:r>
        <w:fldChar w:fldCharType="begin"/>
      </w:r>
      <w:r>
        <w:instrText xml:space="preserve"> HYPERLINK "https://otyb.ksu.edu.tr/Default.aspx?SId=7481"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ile bildirmektedir. Bu toplulukların faaliyetleri kendi Instagram sayfalarında ve bölüm web sitesinde paylaşılmaktadır. </w:t>
      </w:r>
    </w:p>
    <w:p w14:paraId="0BB9EA27">
      <w:pPr>
        <w:spacing w:line="360" w:lineRule="auto"/>
        <w:jc w:val="both"/>
      </w:pPr>
      <w:r>
        <w:rPr>
          <w:rFonts w:ascii="Times New Roman" w:hAnsi="Times New Roman" w:eastAsia="Times New Roman" w:cs="Times New Roman"/>
          <w:sz w:val="24"/>
          <w:szCs w:val="24"/>
        </w:rPr>
        <w:t>Bölüm sosyal, kültürel ve sportif faaliyetleri Bilimsel/ Sosyal ve Kültürel Faaliyetleri Komisyonu tarafından planlanmakta, yürütülmekte ve desteklenmektedir [</w:t>
      </w:r>
      <w:r>
        <w:fldChar w:fldCharType="begin"/>
      </w:r>
      <w:r>
        <w:instrText xml:space="preserve"> HYPERLINK "https://sbfhemsirelik.ksu.edu.tr/Default.aspx?SId=32658"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Bu kapsamda 2025 yılında bölümümüz tarafından, Hemşirelik Öğrencileri Gözünden Afetlerde Hemşirelik Eğitimi Çalıştayı [</w:t>
      </w:r>
      <w:r>
        <w:fldChar w:fldCharType="begin"/>
      </w:r>
      <w:r>
        <w:instrText xml:space="preserve"> HYPERLINK "https://sbfhemsirelik.ksu.edu.tr/default.aspx?DId=89345"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Kadın Sağlığı Hemşireliği’nde Deneyim Paylaşımı Etkinliği [</w:t>
      </w:r>
      <w:r>
        <w:fldChar w:fldCharType="begin"/>
      </w:r>
      <w:r>
        <w:instrText xml:space="preserve"> HYPERLINK "https://sbfhemsirelik.ksu.edu.tr/default.aspx?DId=87833"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Halk Sağlığı Hemşireliği'nde deneyim paylaşımı [</w:t>
      </w:r>
      <w:r>
        <w:fldChar w:fldCharType="begin"/>
      </w:r>
      <w:r>
        <w:instrText xml:space="preserve"> HYPERLINK "https://sbfhemsirelik.ksu.edu.tr/default.aspx?DId=93068"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İç Hastalıkları Hemşireliği’nde Deneyim Paylaşımı Etkinliği [</w:t>
      </w:r>
      <w:r>
        <w:fldChar w:fldCharType="begin"/>
      </w:r>
      <w:r>
        <w:instrText xml:space="preserve"> HYPERLINK "https://sbfhemsirelik.ksu.edu.tr/default.aspx?DId=87946"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Hemşirelikte Yönetim Alanında Deneyim Paylaşımı Etkinliği [</w:t>
      </w:r>
      <w:r>
        <w:fldChar w:fldCharType="begin"/>
      </w:r>
      <w:r>
        <w:instrText xml:space="preserve"> HYPERLINK "https://sbfhemsirelik.ksu.edu.tr/default.aspx?DId=90845"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Çocuk Sağlığı ve Hastalıkları Hemşireliği'nde Deneyim Paylaşımı [</w:t>
      </w:r>
      <w:r>
        <w:fldChar w:fldCharType="begin"/>
      </w:r>
      <w:r>
        <w:instrText xml:space="preserve"> HYPERLINK "https://sbfhemsirelik.ksu.edu.tr/default.aspx?DId=91100"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Esasları Anabilim Dalında Deneyim Paylaşımı Etkinliği [</w:t>
      </w:r>
      <w:r>
        <w:fldChar w:fldCharType="begin"/>
      </w:r>
      <w:r>
        <w:instrText xml:space="preserve"> HYPERLINK "https://sbfhemsirelik.ksu.edu.tr/default.aspx?DId=91550"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İç Hastalıkları Hemşireliği’nde Deneyim Paylaşımı Etkinliği [</w:t>
      </w:r>
      <w:r>
        <w:fldChar w:fldCharType="begin"/>
      </w:r>
      <w:r>
        <w:instrText xml:space="preserve"> HYPERLINK "https://sbfhemsirelik.ksu.edu.tr/default.aspx?DId=101681"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Halk Sağlığı Hemşireliği Yüksek Lisans Öğrencileri Seminer Sunumları sunuldu [</w:t>
      </w:r>
      <w:r>
        <w:fldChar w:fldCharType="begin"/>
      </w:r>
      <w:r>
        <w:instrText xml:space="preserve"> HYPERLINK "https://sbfhemsirelik.ksu.edu.tr/default.aspx?DId=87945"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Mezun Tazelenme Kursları [</w:t>
      </w:r>
      <w:r>
        <w:fldChar w:fldCharType="begin"/>
      </w:r>
      <w:r>
        <w:instrText xml:space="preserve"> HYPERLINK "https://sbfhemsirelik.ksu.edu.tr/default.aspx?DId=88209"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Hemşireler Günü Programı [</w:t>
      </w:r>
      <w:r>
        <w:fldChar w:fldCharType="begin"/>
      </w:r>
      <w:r>
        <w:instrText xml:space="preserve"> HYPERLINK "https://sbfhemsirelik.ksu.edu.tr/default.aspx?DId=91428"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ve 12-18 Mayıs Hemşireler Haftası [</w:t>
      </w:r>
      <w:r>
        <w:fldChar w:fldCharType="begin"/>
      </w:r>
      <w:r>
        <w:instrText xml:space="preserve"> HYPERLINK "https://sbfhemsirelik.ksu.edu.tr/default.aspx?DId=91510"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Tıbbi Uygulama Hataları Etkinliği [</w:t>
      </w:r>
      <w:r>
        <w:fldChar w:fldCharType="begin"/>
      </w:r>
      <w:r>
        <w:instrText xml:space="preserve"> HYPERLINK "https://sbfhemsirelik.ksu.edu.tr/default.aspx?DId=93035"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1. Sınıflara Yönelik Öğrenci Oryantasyon Programı [</w:t>
      </w:r>
      <w:r>
        <w:fldChar w:fldCharType="begin"/>
      </w:r>
      <w:r>
        <w:instrText xml:space="preserve"> HYPERLINK "https://sbfhemsirelik.ksu.edu.tr/default.aspx?DId=100016"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Uluslararası Öğrenciler Buluşması ve Oryantasyon Eğitim [</w:t>
      </w:r>
      <w:r>
        <w:fldChar w:fldCharType="begin"/>
      </w:r>
      <w:r>
        <w:instrText xml:space="preserve"> HYPERLINK "https://sbfhemsirelik.ksu.edu.tr/default.aspx?DId=100177"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Yönder Toplantısı [</w:t>
      </w:r>
      <w:r>
        <w:fldChar w:fldCharType="begin"/>
      </w:r>
      <w:r>
        <w:instrText xml:space="preserve"> HYPERLINK "https://sbfhemsirelik.ksu.edu.tr/default.aspx?DId=100178"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KSÜ Sağlık Uygulama ve Araştırma Hastanesi'nde Dış Paydaş Toplantısı [</w:t>
      </w:r>
      <w:r>
        <w:fldChar w:fldCharType="begin"/>
      </w:r>
      <w:r>
        <w:instrText xml:space="preserve"> HYPERLINK "https://sbfhemsirelik.ksu.edu.tr/default.aspx?DId=100202"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Bölüm Başkanı ile 1. Sınıf Öğrencilerimizin Tanışma Buluşması [</w:t>
      </w:r>
      <w:r>
        <w:fldChar w:fldCharType="begin"/>
      </w:r>
      <w:r>
        <w:instrText xml:space="preserve"> HYPERLINK "https://sbfhemsirelik.ksu.edu.tr/default.aspx?DId=100573"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Bölümü Sınıf Temsilcileri Toplantısı [</w:t>
      </w:r>
      <w:r>
        <w:fldChar w:fldCharType="begin"/>
      </w:r>
      <w:r>
        <w:instrText xml:space="preserve"> HYPERLINK "https://sbfhemsirelik.ksu.edu.tr/default.aspx?DId=100671"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Bölümü İç Paydaş Toplantısı [</w:t>
      </w:r>
      <w:r>
        <w:fldChar w:fldCharType="begin"/>
      </w:r>
      <w:r>
        <w:instrText xml:space="preserve"> HYPERLINK "https://sbfhemsirelik.ksu.edu.tr/default.aspx?DId=101274"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AFAD Tarafından Fakültemiz Akademik ve İdari Personele Yönelik Afet Farkındalık Eğitimi [</w:t>
      </w:r>
      <w:r>
        <w:fldChar w:fldCharType="begin"/>
      </w:r>
      <w:r>
        <w:instrText xml:space="preserve"> HYPERLINK "https://sbfhemsirelik.ksu.edu.tr/default.aspx?DId=101360"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Deprem ve Yangın Tahliye Tatbikatı [</w:t>
      </w:r>
      <w:r>
        <w:fldChar w:fldCharType="begin"/>
      </w:r>
      <w:r>
        <w:instrText xml:space="preserve"> HYPERLINK "https://sbfhemsirelik.ksu.edu.tr/default.aspx?DId=101455"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Öğrenci Uygulamalarına Yönelik Koordinasyon Toplantısı [</w:t>
      </w:r>
      <w:r>
        <w:fldChar w:fldCharType="begin"/>
      </w:r>
      <w:r>
        <w:instrText xml:space="preserve"> HYPERLINK "https://sbfhemsirelik.ksu.edu.tr/default.aspx?DId=101535"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Gönüllülük Dersi kapsamında düzenlenen “Çevre Temizliği Etkinliği” [</w:t>
      </w:r>
      <w:r>
        <w:fldChar w:fldCharType="begin"/>
      </w:r>
      <w:r>
        <w:instrText xml:space="preserve"> HYPERLINK "https://sbfhemsirelik.ksu.edu.tr/default.aspx?DId=89472"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Kahramanmaraş Piazza AVM'de farkındalık etkinlikleri [</w:t>
      </w:r>
      <w:r>
        <w:fldChar w:fldCharType="begin"/>
      </w:r>
      <w:r>
        <w:instrText xml:space="preserve"> HYPERLINK "https://sbfhemsirelik.ksu.edu.tr/default.aspx?DId=89525"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Kahramanmaraş Onikişubat Kız Öğrenci Yurdunda farkındalık etkinlikleri [</w:t>
      </w:r>
      <w:r>
        <w:fldChar w:fldCharType="begin"/>
      </w:r>
      <w:r>
        <w:instrText xml:space="preserve"> HYPERLINK "https://sbfhemsirelik.ksu.edu.tr/default.aspx?DId=93042"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Onikişubat Suzan ve Abdulhakim Bilgili Halk Eğitimi Merkezinde Farkındalık Etkinlikler [</w:t>
      </w:r>
      <w:r>
        <w:fldChar w:fldCharType="begin"/>
      </w:r>
      <w:r>
        <w:instrText xml:space="preserve"> HYPERLINK "https://sbfhemsirelik.ksu.edu.tr/default.aspx?DId=93071"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Dördüncü Sınıf Öğrencileri Anaokulu Öğrencilerine Diş Fırçalama Ve El Hijyeni Konularında Eğitim [</w:t>
      </w:r>
      <w:r>
        <w:fldChar w:fldCharType="begin"/>
      </w:r>
      <w:r>
        <w:instrText xml:space="preserve"> HYPERLINK "https://sbfhemsirelik.ksu.edu.tr/default.aspx?DId=90964"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Dördüncü Sınıf Öğrencilerimiz Huzurevi Ziyareti [</w:t>
      </w:r>
      <w:r>
        <w:fldChar w:fldCharType="begin"/>
      </w:r>
      <w:r>
        <w:instrText xml:space="preserve"> HYPERLINK "https://sbfhemsirelik.ksu.edu.tr/default.aspx?DId=90965"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Öğrencilerinden “Kadına Yönelik Şiddetle Mücadele” Eğitimi [</w:t>
      </w:r>
      <w:r>
        <w:fldChar w:fldCharType="begin"/>
      </w:r>
      <w:r>
        <w:instrText xml:space="preserve"> HYPERLINK "https://sbfhemsirelik.ksu.edu.tr/default.aspx?DId=100192"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"Narko-Gençlik Madde Bağımlılığı İle Mücadele” Farkındalık Eğitimi [</w:t>
      </w:r>
      <w:r>
        <w:fldChar w:fldCharType="begin"/>
      </w:r>
      <w:r>
        <w:instrText xml:space="preserve"> HYPERLINK "https://sbfhemsirelik.ksu.edu.tr/default.aspx?DId=100890"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Hemşirelikte Öğretim Dersi Kapsamında İlköğretim Öğrencilerine Yönelik Sağlık Eğitimi [</w:t>
      </w:r>
      <w:r>
        <w:fldChar w:fldCharType="begin"/>
      </w:r>
      <w:r>
        <w:instrText xml:space="preserve"> HYPERLINK "https://sbfhemsirelik.ksu.edu.tr/default.aspx?DId=101173"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Bilimsel/Sosyal ve Kültürel Faaliyetler Komisyonu 8 Mart Dünya Kadınlar Günün Kutlaması [</w:t>
      </w:r>
      <w:r>
        <w:fldChar w:fldCharType="begin"/>
      </w:r>
      <w:r>
        <w:instrText xml:space="preserve"> HYPERLINK "https://sbfhemsirelik.ksu.edu.tr/default.aspx?DId=89058"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Hemşirelik Bölümü ile KSÜ Öğrenci Hemşireler Topluluğu işbirliğinde 2025 Aile Yılı kapsamında "Aile Yılı Farkındalık Çalışması" Gerçekleştirildi [</w:t>
      </w:r>
      <w:r>
        <w:fldChar w:fldCharType="begin"/>
      </w:r>
      <w:r>
        <w:instrText xml:space="preserve"> HYPERLINK "https://sbfhemsirelik.ksu.edu.tr/default.aspx?DId=90879"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Hemşireler Gününde düzenlediğimiz Sağlık Doğada Başlar Etkinliği [</w:t>
      </w:r>
      <w:r>
        <w:fldChar w:fldCharType="begin"/>
      </w:r>
      <w:r>
        <w:instrText xml:space="preserve"> HYPERLINK "https://sbfhemsirelik.ksu.edu.tr/default.aspx?DId=91356"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gerçekleştirilmiştir. Etkinliklerimiz etkinlik sonrası memnuniyet anketi ile değerlendirilmektedir [</w:t>
      </w:r>
      <w:r>
        <w:fldChar w:fldCharType="begin"/>
      </w:r>
      <w:r>
        <w:instrText xml:space="preserve"> HYPERLINK "https://sbfhemsirelik.ksu.edu.tr/depo/belgeler/Etkinlik%20Sonras%C4%B1%20Memnuniyet%20Anketi_2411221604119634.pdf" \h </w:instrText>
      </w:r>
      <w:r>
        <w:fldChar w:fldCharType="separate"/>
      </w:r>
      <w:r>
        <w:rPr>
          <w:rStyle w:val="20"/>
          <w:rFonts w:ascii="Times New Roman" w:hAnsi="Times New Roman" w:eastAsia="Times New Roman" w:cs="Times New Roman"/>
          <w:color w:val="0563C1"/>
          <w:sz w:val="24"/>
          <w:szCs w:val="24"/>
        </w:rPr>
        <w:t>OD4</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05AC2B1A">
      <w:pPr>
        <w:pStyle w:val="2"/>
        <w:spacing w:line="360" w:lineRule="auto"/>
        <w:rPr>
          <w:rFonts w:ascii="Times New Roman" w:hAnsi="Times New Roman" w:cs="Times New Roman"/>
          <w:color w:val="auto"/>
          <w:sz w:val="22"/>
          <w:szCs w:val="22"/>
        </w:rPr>
      </w:pPr>
    </w:p>
    <w:p w14:paraId="56E8747F">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E5BEA21">
      <w:pPr>
        <w:spacing w:line="360" w:lineRule="auto"/>
        <w:jc w:val="both"/>
        <w:rPr>
          <w:rFonts w:ascii="Times New Roman" w:hAnsi="Times New Roman" w:cs="Times New Roman"/>
          <w:sz w:val="24"/>
          <w:szCs w:val="24"/>
        </w:rPr>
      </w:pPr>
      <w:r>
        <w:rPr>
          <w:rFonts w:ascii="Times New Roman" w:hAnsi="Times New Roman" w:cs="Times New Roman"/>
          <w:sz w:val="24"/>
          <w:szCs w:val="24"/>
        </w:rPr>
        <w:t>Kurumun genelinde sosyal, kültürel ve sportif faaliyetler erişilebilirdir ve bunlardan fırsat eşitliğine dayalı olarak yararlanılmaktadır.</w:t>
      </w:r>
    </w:p>
    <w:p w14:paraId="6731DA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 bünyesinde bulunan tüm öğrenci topluluklarına (KSU Öğrenci Toplulukları Yönetim Birimi) web sayfasından ulaşabilmektedir. Bu topluluklara Fizyoterapi ve Rehabilitasyon bölüm öğrencileri de katılabilmektedir. Ayrıca Sağlık Bilimleri Fakültesi Avşar yerleşkesi bünyesinde çeşitli sosyal, kültürel ve spor aktiviteleri düzenlenmektedir. Öğrenci toplulukları üniversite öğrenci toplulukları sayfasında bulunan topluluk faaliyet talep formunu doldurarak, talep ettikleri takdirde Konferans Salonu ya da Yerleşke Dışı Etkinlik Talep Formu’nu doldurarak ilgili etkinlik için gerekli salonu talep edebilmektedirler </w:t>
      </w:r>
      <w:r>
        <w:fldChar w:fldCharType="begin"/>
      </w:r>
      <w:r>
        <w:instrText xml:space="preserve"> HYPERLINK "https://sbfftr.ksu.edu.tr/default.aspx?DId=89432"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7EA639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Bölüm bünyesinde 2024-2025 Güz yarıyılı 15.05.2025 tarihinde 1 adet ‘Skolyozda Güncel Yaklaşımlar’ sempozyumu yapılmıştır </w:t>
      </w:r>
      <w:r>
        <w:fldChar w:fldCharType="begin"/>
      </w:r>
      <w:r>
        <w:instrText xml:space="preserve"> HYPERLINK "https://sbfftr.ksu.edu.tr/default.aspx?DId=91742"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2ECA21C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5C1147EB">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Kurumun genelinde sosyal, kültürel ve sportif faaliyetler erişilebilir dir ve bunlardan fırsat eşitliğine dayalı olarak yararlanılmaktadır. Ebelik bölümü web sayfasında [</w:t>
      </w:r>
      <w:r>
        <w:fldChar w:fldCharType="begin"/>
      </w:r>
      <w:r>
        <w:instrText xml:space="preserve"> HYPERLINK "https://sbfebelik.ksu.edu.tr/Default.aspx?SId=33497"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Instagram hesabında [</w:t>
      </w:r>
      <w:r>
        <w:fldChar w:fldCharType="begin"/>
      </w:r>
      <w:r>
        <w:instrText xml:space="preserve"> HYPERLINK "https://www.instagram.com/ksu.ebelik/"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sosyal, kültürel, sportif faaliyetler, etkinlikler duyurulmaktadır. Ayrıca bölümümüzde 2 adet aktif öğrenci topluluğu bulunmaktadır [</w:t>
      </w:r>
      <w:r>
        <w:fldChar w:fldCharType="begin"/>
      </w:r>
      <w:r>
        <w:instrText xml:space="preserve"> HYPERLINK "https://www.ksu.edu.tr/Default.aspx?DId=100176"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Topluluklar faaliyetlerini Öğrenci Toplulukları Yönergesine [</w:t>
      </w:r>
      <w:r>
        <w:fldChar w:fldCharType="begin"/>
      </w:r>
      <w:r>
        <w:instrText xml:space="preserve"> HYPERLINK "https://otyb.ksu.edu.tr/Default.aspx?SId=7481"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göre sürdürmektedir. Topluluklar faaliyetlerini gerçekleştirmek için Topluluk Faaliyet Talep Formu [</w:t>
      </w:r>
      <w:r>
        <w:fldChar w:fldCharType="begin"/>
      </w:r>
      <w:r>
        <w:instrText xml:space="preserve"> HYPERLINK "https://otyb.ksu.edu.tr/Default.aspx?SId=7481"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Topluluk Faaliyet Taslak Formu [</w:t>
      </w:r>
      <w:r>
        <w:fldChar w:fldCharType="begin"/>
      </w:r>
      <w:r>
        <w:instrText xml:space="preserve"> HYPERLINK "https://otyb.ksu.edu.tr/Default.aspx?SId=7481"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Konferans Salonu ya da Yerleşke Dışı Etkinlik Talep Formu [</w:t>
      </w:r>
      <w:r>
        <w:fldChar w:fldCharType="begin"/>
      </w:r>
      <w:r>
        <w:instrText xml:space="preserve"> HYPERLINK "https://otyb.ksu.edu.tr/Default.aspx?SId=7481" \h </w:instrText>
      </w:r>
      <w:r>
        <w:fldChar w:fldCharType="separate"/>
      </w:r>
      <w:r>
        <w:rPr>
          <w:rFonts w:ascii="Times New Roman" w:hAnsi="Times New Roman" w:eastAsia="Times New Roman" w:cs="Times New Roman"/>
          <w:color w:val="0563C1"/>
          <w:sz w:val="24"/>
          <w:szCs w:val="24"/>
          <w:u w:val="single"/>
        </w:rPr>
        <w:t>OD4</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ile bildirmektedir. Bu toplulukların faaliyetleri kendi Instagram sayfalarında ve bölüm web sitesinde paylaşılmaktadır. </w:t>
      </w:r>
    </w:p>
    <w:p w14:paraId="1E00E9ED">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Bölüm sosyal, kültürel ve sportif faaliyetleri Bilimsel/ Sosyal ve Kültürel Faaliyetleri Komisyonu tarafından planlanmakta, yürütülmekte ve desteklenmektedir [</w:t>
      </w:r>
      <w:r>
        <w:fldChar w:fldCharType="begin"/>
      </w:r>
      <w:r>
        <w:instrText xml:space="preserve"> HYPERLINK "https://sbfebelik.ksu.edu.tr/Default.aspx?SId=33461"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Bu kapsamda 2025 yılında bölümümüz tarafından,Ebelik Öğrencilerine Yönelik TÜBİTAK 2209-A Proje Hazırlama ve Deneyim Paylaşım Paneli Etkinliklerimiz etkinlik sonrası memnuniyet anketi ile değerlendirilmektedir [</w:t>
      </w:r>
      <w:r>
        <w:fldChar w:fldCharType="begin"/>
      </w:r>
      <w:r>
        <w:instrText xml:space="preserve"> HYPERLINK "https://sbfebelik.ksu.edu.tr/default.aspx?DId=100409" \h </w:instrText>
      </w:r>
      <w:r>
        <w:fldChar w:fldCharType="separate"/>
      </w:r>
      <w:r>
        <w:rPr>
          <w:rFonts w:ascii="Times New Roman" w:hAnsi="Times New Roman" w:eastAsia="Times New Roman" w:cs="Times New Roman"/>
          <w:color w:val="1155CC"/>
          <w:sz w:val="24"/>
          <w:szCs w:val="24"/>
          <w:u w:val="single"/>
        </w:rPr>
        <w:t>OD4</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376246A3">
      <w:pPr>
        <w:spacing w:line="360" w:lineRule="auto"/>
        <w:jc w:val="both"/>
      </w:pPr>
    </w:p>
    <w:p w14:paraId="235BE302">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B.4. Öğretim Kadrosu </w:t>
      </w:r>
    </w:p>
    <w:p w14:paraId="0EDF4186">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Sağlık Bilimleri Fakültesi’nde  öğretim kadrosunun atama, yükseltme ve görevlendirme süreçleri; 2547 sayılı Yükseköğretim Kanunu</w:t>
      </w:r>
      <w:r>
        <w:rPr>
          <w:rFonts w:ascii="Times New Roman" w:hAnsi="Times New Roman" w:eastAsia="Times New Roman" w:cs="Times New Roman"/>
          <w:i/>
          <w:iCs/>
          <w:sz w:val="24"/>
          <w:szCs w:val="24"/>
        </w:rPr>
        <w:t xml:space="preserve"> </w:t>
      </w:r>
      <w:r>
        <w:fldChar w:fldCharType="begin"/>
      </w:r>
      <w:r>
        <w:instrText xml:space="preserve"> HYPERLINK "https://www.mevzuat.gov.tr/MevzuatMetin/1.5.2547.pdf"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ve Kahramanmaraş Sütçü İmam Üniversitesi Öğretim Üyeliğine Yükseltilme ve Atanma Kriterleri Yönergesi </w:t>
      </w:r>
      <w:r>
        <w:fldChar w:fldCharType="begin"/>
      </w:r>
      <w:r>
        <w:instrText xml:space="preserve"> HYPERLINK "https://personel.ksu.edu.tr/depo/belgeler/KS%C3%9C-Atama,%20Y%C3%BCkseltme%20%C3%96l%C3%A7%C3%BCtleri_1812101431461666_1911201430038307.pdf"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doğrultusunda yürütülmektedir. Süreçlerde şeffaflık, liyakat, akademik yeterlilik ve alan uygunluğu temel ilkeler olarak benimsenmiştir. Öğretim üyelerinin atama ve yükseltme işlemlerinde adayların; akademik unvanları, bilimsel yayınları, atıf sayıları, yürüttükleri bilimsel projeler, eğitim-öğretim faaliyetleri ve toplumsal katkı çalışmaları değerlendirilmekte olup, başvurular ilgili mevzuat çerçevesinde oluşturulan jüri raporları ve kurul kararları doğrultusunda sonuçlandırılmaktadır </w:t>
      </w:r>
      <w:r>
        <w:fldChar w:fldCharType="begin"/>
      </w:r>
      <w:r>
        <w:instrText xml:space="preserve"> HYPERLINK "https://drive.google.com/drive/u/1/home"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"https://personel.ksu.edu.tr/depo/belgeler/KS%C3%9C-Atama,%20Y%C3%BCkseltme%20%C3%96l%C3%A7%C3%BCtleri_1812101431461666_1911201430038307.pdf"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w:t>
      </w:r>
    </w:p>
    <w:p w14:paraId="0170E4B7">
      <w:pPr>
        <w:spacing w:line="360" w:lineRule="auto"/>
        <w:jc w:val="both"/>
      </w:pPr>
    </w:p>
    <w:p w14:paraId="2DD79EDC">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B.4.1. Atama, yükseltme ve görevlendirme kriterleri</w:t>
      </w:r>
    </w:p>
    <w:p w14:paraId="59B4BB2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57D7429">
      <w:pPr>
        <w:spacing w:line="360" w:lineRule="auto"/>
        <w:jc w:val="both"/>
      </w:pPr>
      <w:r>
        <w:rPr>
          <w:rFonts w:ascii="Times New Roman" w:hAnsi="Times New Roman" w:eastAsia="Times New Roman" w:cs="Times New Roman"/>
          <w:sz w:val="24"/>
          <w:szCs w:val="24"/>
        </w:rPr>
        <w:t>Hemşirelik Bölümü öğretim kadrosunun atama, yükseltme ve görevlendirme süreçleri; 2547 sayılı Yükseköğretim Kanunu</w:t>
      </w:r>
      <w:r>
        <w:rPr>
          <w:rFonts w:ascii="Times New Roman" w:hAnsi="Times New Roman" w:eastAsia="Times New Roman" w:cs="Times New Roman"/>
          <w:i/>
          <w:iCs/>
          <w:sz w:val="24"/>
          <w:szCs w:val="24"/>
        </w:rPr>
        <w:t xml:space="preserve"> </w:t>
      </w:r>
      <w:r>
        <w:fldChar w:fldCharType="begin"/>
      </w:r>
      <w:r>
        <w:instrText xml:space="preserve"> HYPERLINK "https://www.mevzuat.gov.tr/MevzuatMetin/1.5.2547.pdf"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ve Kahramanmaraş Sütçü İmam Üniversitesi Öğretim Üyeliğine Yükseltilme ve Atanma Kriterleri Yönergesi </w:t>
      </w:r>
      <w:r>
        <w:fldChar w:fldCharType="begin"/>
      </w:r>
      <w:r>
        <w:instrText xml:space="preserve"> HYPERLINK "https://personel.ksu.edu.tr/depo/belgeler/KS%C3%9C-Atama,%20Y%C3%BCkseltme%20%C3%96l%C3%A7%C3%BCtleri_1812101431461666_1911201430038307.pdf"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doğrultusunda yürütülmektedir. Süreçlerde şeffaflık, liyakat, akademik yeterlilik ve alan uygunluğu temel ilkeler olarak benimsenmiştir. Öğretim üyelerinin atama ve yükseltme işlemlerinde adayların; akademik unvanları, bilimsel yayınları, atıf sayıları, yürüttükleri bilimsel projeler, eğitim-öğretim faaliyetleri ve toplumsal katkı çalışmaları değerlendirilmekte olup, başvurular ilgili mevzuat çerçevesinde oluşturulan jüri raporları ve kurul kararları doğrultusunda sonuçlandırılmaktadır </w:t>
      </w:r>
      <w:r>
        <w:fldChar w:fldCharType="begin"/>
      </w:r>
      <w:r>
        <w:instrText xml:space="preserve"> HYPERLINK "https://drive.google.com/drive/u/1/home"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"https://personel.ksu.edu.tr/depo/belgeler/KS%C3%9C-Atama,%20Y%C3%BCkseltme%20%C3%96l%C3%A7%C3%BCtleri_1812101431461666_1911201430038307.pdf"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Bölümde ders görevlendirmeleri, öğretim elemanlarının uzmanlık alanları, akademik yeterlilikleri ve derslerin program çıktılarıyla uyumu dikkate alınarak yapılmaktadır. Ders dağılımları Hemşirelik Bölüm Kurulu kararları ile belirlenmektedir </w:t>
      </w:r>
      <w:r>
        <w:fldChar w:fldCharType="begin"/>
      </w:r>
      <w:r>
        <w:instrText xml:space="preserve"> HYPERLINK "https://drive.google.com/file/d/1xAc9edfKTqu4HgRCNiS2l350gBoTx2mv/view?usp=sharing"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Öğretim kadrosunun mesleki ve akademik gelişimini desteklemek amacıyla hizmet içi eğitimler, bilimsel toplantılar ve akademik gelişim faaliyetlerine katılım teşvik edilmekte; bu faaliyetlere ilişkin belgeler kayıt altına alınmaktadır </w:t>
      </w:r>
      <w:r>
        <w:fldChar w:fldCharType="begin"/>
      </w:r>
      <w:r>
        <w:instrText xml:space="preserve"> HYPERLINK "https://drive.google.com/file/d/1fEyDjb-3Ubisq-MUl2hVrSaYVa3NvxQV/view?usp=sharing"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"https://sbfhemsirelik.ksu.edu.tr/Default.aspx?DId=101971"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"https://saglik.ksu.edu.tr/default.aspx?DId=101357"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p>
    <w:p w14:paraId="3525115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6A16CC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Sağlık Bilimleri Fakültesi Fizyoterapi ve Rehabilitasyon bölümünde öğretim elemanı atama, yükseltme ve görevlendirme süreç ve kriterleri Kahramanmaraş Sütçü İmam Üniversitesi Öğretim Üyeliğine Yükseltilme ve Atanma Kriterleri Yönergesi doğrultusunda yürütülmektedir </w:t>
      </w:r>
      <w:r>
        <w:fldChar w:fldCharType="begin"/>
      </w:r>
      <w:r>
        <w:instrText xml:space="preserve"> HYPERLINK "https://personel.ksu.edu.tr/depo/belgeler/KS%C3%9C-Atama,%20Y%C3%BCkseltme%20%C3%96l%C3%A7%C3%BCtleri_1812101431461666_1911201430038307.pdf"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 xml:space="preserve">. Fizyoterapi ve Rehabilitasyon bölümünde de ilgili sayfada bulunan atama ve yükseltme kriterlerine göre bölüm içerisinde bir öğretim görevlimizin akademik yükselmesi için 1 adet bölüm öğretim üyesi ilanına çıkılmış ve Dr. Öğretim Üyesi Elisa ÇALIŞGAN 2025 yılı ocak ayında akademik derecesi yükseltilerek ataması yapılmıştır </w:t>
      </w:r>
      <w:r>
        <w:fldChar w:fldCharType="begin"/>
      </w:r>
      <w:r>
        <w:instrText xml:space="preserve"> HYPERLINK "https://www.ksu.edu.tr/default.aspx?DId=87784"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5F02FA34">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04594B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Ebelik Bölümü öğretim kadrosunun atama, yükseltme ve görevlendirme süreçleri; 2547 sayılı Yükseköğretim Kanunu</w:t>
      </w:r>
      <w:r>
        <w:rPr>
          <w:rFonts w:ascii="Times New Roman" w:hAnsi="Times New Roman" w:eastAsia="Times New Roman" w:cs="Times New Roman"/>
          <w:i/>
          <w:iCs/>
          <w:sz w:val="24"/>
          <w:szCs w:val="24"/>
        </w:rPr>
        <w:t xml:space="preserve"> </w:t>
      </w:r>
      <w:r>
        <w:fldChar w:fldCharType="begin"/>
      </w:r>
      <w:r>
        <w:instrText xml:space="preserve"> HYPERLINK "https://www.mevzuat.gov.tr/MevzuatMetin/1.5.2547.pdf"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ve Kahramanmaraş Sütçü İmam Üniversitesi Öğretim Üyeliğine Yükseltilme ve Atanma Kriterleri Yönergesi </w:t>
      </w:r>
      <w:r>
        <w:fldChar w:fldCharType="begin"/>
      </w:r>
      <w:r>
        <w:instrText xml:space="preserve"> HYPERLINK "https://personel.ksu.edu.tr/depo/belgeler/KS%C3%9C-Atama,%20Y%C3%BCkseltme%20%C3%96l%C3%A7%C3%BCtleri_1812101431461666_1911201430038307.pdf"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doğrultusunda yürütülmektedir. Süreçlerde şeffaflık, liyakat, akademik yeterlilik ve alan uygunluğu temel ilkeler olarak benimsenmiştir. Öğretim üyelerinin atama ve yükseltme işlemlerinde adayların; akademik unvanları, bilimsel yayınları, atıf sayıları, yürüttükleri bilimsel projeler, eğitim-öğretim faaliyetleri ve toplumsal katkı çalışmaları değerlendirilmekte olup, başvurular ilgili mevzuat çerçevesinde oluşturulan jüri raporları ve kurul kararları doğrultusunda sonuçlandırılmaktadır </w:t>
      </w:r>
      <w:r>
        <w:fldChar w:fldCharType="begin"/>
      </w:r>
      <w:r>
        <w:instrText xml:space="preserve"> HYPERLINK "https://personel.ksu.edu.tr/depo/belgeler/KS%C3%9C-Atama,%20Y%C3%BCkseltme%20%C3%96l%C3%A7%C3%BCtleri_1812101431461666_1911201430038307.pdf"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Bölümde ders görevlendirmeleri, öğretim elemanlarının uzmanlık alanları, akademik yeterlilikleri ve derslerin program çıktılarıyla uyumu dikkate alınarak yapılmaktadır. Ders dağılımları Ebelik Bölüm Kurulu kararları ile belirlenmektedir </w:t>
      </w:r>
      <w:r>
        <w:fldChar w:fldCharType="begin"/>
      </w:r>
      <w:r>
        <w:instrText xml:space="preserve"> HYPERLINK "https://drive.google.com/file/d/1P6qXNNUp2ui3Fi1fhbJBBUJJEXtlBNWT/view?usp=sharing"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p>
    <w:p w14:paraId="60C3D26B">
      <w:pPr>
        <w:spacing w:line="360" w:lineRule="auto"/>
        <w:jc w:val="both"/>
      </w:pPr>
    </w:p>
    <w:p w14:paraId="0E007D7F">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B.4.2. Öğretim yetkinlikleri ve gelişimi </w:t>
      </w:r>
    </w:p>
    <w:p w14:paraId="0906273A">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3FFFDF6">
      <w:pPr>
        <w:spacing w:line="360" w:lineRule="auto"/>
        <w:jc w:val="both"/>
      </w:pPr>
      <w:r>
        <w:rPr>
          <w:rFonts w:ascii="Times New Roman" w:hAnsi="Times New Roman" w:eastAsia="Times New Roman" w:cs="Times New Roman"/>
          <w:sz w:val="24"/>
          <w:szCs w:val="24"/>
        </w:rPr>
        <w:t xml:space="preserve">Hemşirelik Bölümü öğretim kadrosunun öğretim yetkinlikleri; alan uzmanlığı, pedagojik yeterlilik, ölçme-değerlendirme becerileri ve öğrenci merkezli eğitim yaklaşımı çerçevesinde ele alınmakta ve sürekli gelişim anlayışıyla desteklenmektedir. Öğretim elemanlarının eğitim-öğretim faaliyetleri, üniversite ve fakülte düzeyinde belirlenen kalite güvencesi politikaları doğrultusunda izlenmektedir </w:t>
      </w:r>
      <w:r>
        <w:fldChar w:fldCharType="begin"/>
      </w:r>
      <w:r>
        <w:instrText xml:space="preserve"> HYPERLINK "https://egitim.ksu.edu.tr/default.aspx?DId=99653"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"https://sbfhemsirelik.ksu.edu.tr/Default.aspx?SId=32647"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Öğretim elemanlarının pedagojik ve mesleki gelişimlerini desteklemek amacıyla; hizmet içi eğitimler, eğiticilerin eğitimi programları, ölçme-değerlendirme, öğrenci merkezli öğretim yöntemleri, dijital öğrenme ortamlarının kullanımı ve</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akreditasyon süreçlerine yönelik bilgilendirme eğitimleri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düzenlenmektedir </w:t>
      </w:r>
      <w:r>
        <w:fldChar w:fldCharType="begin"/>
      </w:r>
      <w:r>
        <w:instrText xml:space="preserve"> HYPERLINK "https://egitim.ksu.edu.tr/default.aspx?DId=99653"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"https://sbfhemsirelik.ksu.edu.tr/Default.aspx?SId=32647"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"https://drive.google.com/file/d/1yEaSuegY6pYU1YzOVB15ioLLikSC_SEh/view?usp=sharing"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xml:space="preserve">. Bu faaliyetlere katılım belgeleri kayıt altına alınmakta ve izlenmektedir </w:t>
      </w:r>
      <w:r>
        <w:fldChar w:fldCharType="begin"/>
      </w:r>
      <w:r>
        <w:instrText xml:space="preserve"> HYPERLINK "https://drive.google.com/file/d/1yEaSuegY6pYU1YzOVB15ioLLikSC_SEh/view?usp=sharing"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Öğretim yetkinliklerinin değerlendirilmesinde, her yarıyıl sonunda uygulanan öğrenci ders değerlendirme anketleri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önemli bir geri bildirim aracı olarak kullanılmaktadır. Anket sonuçları bölüm ve fakülte düzeyinde analiz edilmekte; elde edilen bulgular doğrultusunda öğretim yöntemleri ve ders içeriklerinde iyileştirmeler yapılmaktadır </w:t>
      </w:r>
      <w:r>
        <w:fldChar w:fldCharType="begin"/>
      </w:r>
      <w:r>
        <w:instrText xml:space="preserve"> HYPERLINK "https://docs.google.com/document/d/1qhp1Qho-XHJFlk-A_B6xnEXmAzokWIAT/edit?usp=sharing&amp;ouid=107622420892877711975&amp;rtpof=true&amp;sd=true"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sz w:val="24"/>
          <w:szCs w:val="24"/>
        </w:rPr>
        <w:t>. Bölüm öğretim elemanlarının bilimsel araştırma, yayın, proje ve akademik etkinliklere katılımı teşvik edilmekte; bu faaliyetler öğretim elemanlarının mesleki gelişimlerinin ve öğretim yetkinliklerinin güçlendirilmesine katkı sağlamaktadır. Ayrıca öğretim elemanlarının ulusal ve uluslararası bilimsel toplantılara katılımı kurumsal olanaklar çerçevesinde desteklenmektedir.</w:t>
      </w:r>
    </w:p>
    <w:p w14:paraId="4C1B8B6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260663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Fizyoterapi ve Rehabilitasyon Bölümü öğretim kadrosunun öğretim yetkinlikleri; alan uzmanlığı, eğitim-öğretim süreçlerinde çağdaş pedagojik yaklaşımları kullanabilme, ölçme ve değerlendirme uygulamalarını etkin biçimde yürütme ve öğrenci merkezli öğrenme ortamları oluşturma yeterlilikleri kapsamında ele alınmaktadır. Bu kapsamda 2025-2026 eğitim-öğretim döneminde güz yarıyılı Eylül ayında KSÜ Eğitim Fakültesi tarafından Eğiticilerin eğitimi programı (5 gün) düzenlenmiş olup bölümümüzde bulunan tüm akademik personelimiz eğitime katılmıştır. Eğitim sonunda katılım belgeleri verilmiştir </w:t>
      </w:r>
      <w:r>
        <w:rPr>
          <w:rFonts w:ascii="Times New Roman" w:hAnsi="Times New Roman" w:cs="Times New Roman"/>
          <w:color w:val="4472C4" w:themeColor="accent1"/>
          <w:sz w:val="24"/>
          <w:szCs w:val="24"/>
          <w14:textFill>
            <w14:solidFill>
              <w14:schemeClr w14:val="accent1"/>
            </w14:solidFill>
          </w14:textFill>
        </w:rPr>
        <w:t>[OD3]</w:t>
      </w:r>
      <w:r>
        <w:rPr>
          <w:rFonts w:ascii="Times New Roman" w:hAnsi="Times New Roman" w:cs="Times New Roman"/>
          <w:sz w:val="24"/>
          <w:szCs w:val="24"/>
        </w:rPr>
        <w:t>. Bölüm öğretim elemanlarının bilimsel araştırma, yayın ve proje faaliyetlerine katılımı teşvik edilmekte; bu faaliyetlerin eğitim-öğretim süreçlerine yansıtılması desteklenmektedir. Öğretim elemanlarının akademik ve mesleki gelişimlerinin sürdürülebilirliği amacıyla ulusal ve uluslararası bilimsel toplantılara katılımları ile akademik etkinliklerde yer almaları kurumsal olanaklar çerçevesinde desteklenmektedir.</w:t>
      </w:r>
    </w:p>
    <w:p w14:paraId="57C0A6A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2B5A683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Ebelik Bölümü öğretim kadrosunun öğretim yetkinlikleri; alan uzmanlığı, pedagojik yeterlilik, ölçme-değerlendirme becerileri ve öğrenci merkezli eğitim yaklaşımı çerçevesinde ele alınmakta ve sürekli gelişim anlayışıyla desteklenmektedir. Öğretim elemanlarının eğitim-öğretim faaliyetleri, üniversite ve fakülte düzeyinde belirlenen kalite güvencesi politikaları doğrultusunda izlenmektedir  </w:t>
      </w:r>
      <w:r>
        <w:fldChar w:fldCharType="begin"/>
      </w:r>
      <w:r>
        <w:instrText xml:space="preserve"> HYPERLINK "https://sbfebelik.ksu.edu.tr/Default.aspx?SId=33395"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Öğretim elemanlarının pedagojik ve mesleki gelişimlerini desteklemek amacıyla; hizmet içi eğitimler, eğiticilerin eğitimi programları, ölçme-değerlendirme, öğrenci merkezli öğretim yöntemleri, dijital öğrenme ortamlarının kullanımı ve</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akreditasyon süreçlerine yönelik bilgilendirme eğitimleri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düzenlenmektedir </w:t>
      </w:r>
      <w:r>
        <w:fldChar w:fldCharType="begin"/>
      </w:r>
      <w:r>
        <w:instrText xml:space="preserve"> HYPERLINK "https://egitim.ksu.edu.tr/default.aspx?DId=99653"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"https://sbfebelik.ksu.edu.tr/Default.aspx?SId=33395"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w:t>
      </w:r>
      <w:r>
        <w:fldChar w:fldCharType="begin"/>
      </w:r>
      <w:r>
        <w:instrText xml:space="preserve"> HYPERLINK "https://drive.google.com/file/d/1yEaSuegY6pYU1YzOVB15ioLLikSC_SEh/view?usp=sharing"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xml:space="preserve">. Bu faaliyetlere katılım belgeleri kayıt altına alınmakta ve izlenmektedir </w:t>
      </w:r>
      <w:r>
        <w:fldChar w:fldCharType="begin"/>
      </w:r>
      <w:r>
        <w:instrText xml:space="preserve"> HYPERLINK "https://drive.google.com/file/d/1yEaSuegY6pYU1YzOVB15ioLLikSC_SEh/view?usp=sharing"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sz w:val="24"/>
          <w:szCs w:val="24"/>
        </w:rPr>
        <w:t>. Öğretim yetkinliklerinin değerlendirilmesinde, her yarıyıl sonunda uygulanan öğrenci ders değerlendirme anketleri</w:t>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önemli bir geri bildirim aracı olarak kullanılmaktadır. Anket sonuçları bölüm ve fakülte düzeyinde analiz edilmekte; elde edilen bulgular doğrultusunda öğretim yöntemleri ve ders içeriklerinde iyileştirmeler yapılmaktadır </w:t>
      </w:r>
      <w:r>
        <w:fldChar w:fldCharType="begin"/>
      </w:r>
      <w:r>
        <w:instrText xml:space="preserve"> HYPERLINK "https://sbfebelik.ksu.edu.tr/Default.aspx?SId=24295"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Bölüm öğretim elemanlarının bilimsel araştırma, yayın, proje geliştirme ve akademik etkinliklere katılımları kurumsal düzeyde teşvik edilmekte; bu faaliyetler, öğretim elemanlarının akademik ve mesleki gelişimlerinin yanı sıra eğitim-öğretim yetkinliklerinin güçlendirilmesine katkı sağlamaktadır. Ayrıca öğretim elemanlarının ulusal ve uluslararası bilimsel kongre, sempozyum ve toplantılara katılımları, kurumun sunduğu olanaklar doğrultusunda desteklenmekte ve özendirilmektedir.</w:t>
      </w:r>
    </w:p>
    <w:p w14:paraId="5F1C7773">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B.4.3. Eğitim faaliyetlerine yönelik teşvik ve ödüllendirme</w:t>
      </w:r>
    </w:p>
    <w:p w14:paraId="44878EB3">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59FC1F13">
      <w:pPr>
        <w:spacing w:line="360" w:lineRule="auto"/>
        <w:jc w:val="both"/>
      </w:pPr>
      <w:r>
        <w:rPr>
          <w:rFonts w:ascii="Times New Roman" w:hAnsi="Times New Roman" w:eastAsia="Times New Roman" w:cs="Times New Roman"/>
          <w:sz w:val="24"/>
          <w:szCs w:val="24"/>
        </w:rPr>
        <w:t>Akademik Çalışmalar ve Teşvik Sistemi: Akademik alanda başarı gösteren öğretim elemanlarımız için Yükseköğretim Kurulu (YÖK) teşvik sistemi uygulanmaktadır. Bu teşvik, akademisyenlerimizi daha fazla bilimsel çalışma yapmaya yönlendirmektedir [</w:t>
      </w:r>
      <w:r>
        <w:fldChar w:fldCharType="begin"/>
      </w:r>
      <w:r>
        <w:instrText xml:space="preserve"> HYPERLINK "https://yoksis.yok.gov.tr/"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Akademik Teşvik Puanlarının Yayınlanması: Fakültemizde görev yapan öğretim elemanlarının akademik teşvik puanları, şeffaflık ilkesine uygun olarak üniversitemizin web sayfasında düzenli olarak yayınlanmaktadır [</w:t>
      </w:r>
      <w:r>
        <w:fldChar w:fldCharType="begin"/>
      </w:r>
      <w:r>
        <w:instrText xml:space="preserve"> HYPERLINK "https://www.ksu.edu.tr/Default.aspx?SId=23043"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Akademik açılış töreninde ve mezuniyet töreninde başarılı akademisyenlere belge takdim edilmekte [</w:t>
      </w:r>
      <w:r>
        <w:fldChar w:fldCharType="begin"/>
      </w:r>
      <w:r>
        <w:instrText xml:space="preserve"> HYPERLINK "https://www.ksu.edu.tr/default.aspx?DId=99860"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xml:space="preserve">  [</w:t>
      </w:r>
      <w:r>
        <w:fldChar w:fldCharType="begin"/>
      </w:r>
      <w:r>
        <w:instrText xml:space="preserve"> HYPERLINK "https://www.ksu.edu.tr/default.aspx?DId=101962" \h </w:instrText>
      </w:r>
      <w:r>
        <w:fldChar w:fldCharType="separate"/>
      </w:r>
      <w:r>
        <w:rPr>
          <w:rStyle w:val="20"/>
          <w:rFonts w:ascii="Times New Roman" w:hAnsi="Times New Roman" w:eastAsia="Times New Roman" w:cs="Times New Roman"/>
          <w:color w:val="0563C1"/>
          <w:sz w:val="24"/>
          <w:szCs w:val="24"/>
        </w:rPr>
        <w:t>OD3</w:t>
      </w:r>
      <w:r>
        <w:rPr>
          <w:rStyle w:val="20"/>
          <w:rFonts w:ascii="Times New Roman" w:hAnsi="Times New Roman" w:eastAsia="Times New Roman" w:cs="Times New Roman"/>
          <w:color w:val="0563C1"/>
          <w:sz w:val="24"/>
          <w:szCs w:val="24"/>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w:t>
      </w:r>
    </w:p>
    <w:p w14:paraId="1F7A49C3">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5E2BF819">
      <w:pPr>
        <w:spacing w:line="360" w:lineRule="auto"/>
        <w:jc w:val="both"/>
        <w:rPr>
          <w:rFonts w:ascii="Times New Roman" w:hAnsi="Times New Roman" w:cs="Times New Roman"/>
          <w:sz w:val="24"/>
          <w:szCs w:val="24"/>
        </w:rPr>
      </w:pPr>
      <w:r>
        <w:rPr>
          <w:rFonts w:ascii="Times New Roman" w:hAnsi="Times New Roman" w:cs="Times New Roman"/>
          <w:sz w:val="24"/>
          <w:szCs w:val="24"/>
        </w:rPr>
        <w:t>Bölümüze ait öğretim kadrosuna yönelik teşvik ve ödüllendirilme mekanizmaları bulunmamaktadır. Akademik alanda başarı gösteren öğretim elemanlarımız için Yükseköğretim Kurulu (YÖK) teşvik sistemi uygulanmaktadır [</w:t>
      </w:r>
      <w:r>
        <w:fldChar w:fldCharType="begin"/>
      </w:r>
      <w:r>
        <w:instrText xml:space="preserve"> HYPERLINK "https://yoksis.yok.gov.tr/" </w:instrText>
      </w:r>
      <w:r>
        <w:fldChar w:fldCharType="separate"/>
      </w:r>
      <w:r>
        <w:rPr>
          <w:rStyle w:val="20"/>
          <w:rFonts w:ascii="Times New Roman" w:hAnsi="Times New Roman" w:cs="Times New Roman"/>
          <w:sz w:val="24"/>
          <w:szCs w:val="24"/>
        </w:rPr>
        <w:t>OD</w:t>
      </w:r>
      <w:r>
        <w:rPr>
          <w:rStyle w:val="20"/>
          <w:rFonts w:ascii="Times New Roman" w:hAnsi="Times New Roman" w:cs="Times New Roman"/>
          <w:sz w:val="24"/>
          <w:szCs w:val="24"/>
        </w:rPr>
        <w:fldChar w:fldCharType="end"/>
      </w:r>
      <w:r>
        <w:rPr>
          <w:rFonts w:ascii="Times New Roman" w:hAnsi="Times New Roman" w:cs="Times New Roman"/>
          <w:sz w:val="24"/>
          <w:szCs w:val="24"/>
          <w:u w:val="single"/>
        </w:rPr>
        <w:t>1]</w:t>
      </w:r>
      <w:r>
        <w:rPr>
          <w:rFonts w:ascii="Times New Roman" w:hAnsi="Times New Roman" w:cs="Times New Roman"/>
          <w:sz w:val="24"/>
          <w:szCs w:val="24"/>
        </w:rPr>
        <w:t>.</w:t>
      </w:r>
    </w:p>
    <w:p w14:paraId="316C846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6454DD9">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Akademik Çalışmalar ve Teşvik Sistemi: Akademik alanda başarı gösteren öğretim elemanlarımız için Yükseköğretim Kurulu (YÖK) teşvik sistemi uygulanmaktadır. Bu teşvik, akademisyenlerimizi daha fazla bilimsel çalışma yapmaya yönlendirmektedir [</w:t>
      </w:r>
      <w:r>
        <w:fldChar w:fldCharType="begin"/>
      </w:r>
      <w:r>
        <w:instrText xml:space="preserve"> HYPERLINK "https://yoksis.yok.gov.tr/"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Akademik Teşvik Puanlarının Yayınlanması: Fakültemizde görev yapan öğretim elemanlarının akademik teşvik puanları, şeffaflık ilkesine uygun olarak üniversitemizin web sayfasında düzenli olarak yayınlanmaktadır [</w:t>
      </w:r>
      <w:r>
        <w:fldChar w:fldCharType="begin"/>
      </w:r>
      <w:r>
        <w:instrText xml:space="preserve"> HYPERLINK "https://www.ksu.edu.tr/Default.aspx?SId=23043"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.Akademik açılış töreninde ve mezuniyet töreninde başarılı akademisyenlere belge takdim edilmekte [</w:t>
      </w:r>
      <w:r>
        <w:fldChar w:fldCharType="begin"/>
      </w:r>
      <w:r>
        <w:instrText xml:space="preserve"> HYPERLINK "https://www.ksu.edu.tr/default.aspx?DId=99860"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 xml:space="preserve">  [</w:t>
      </w:r>
      <w:r>
        <w:fldChar w:fldCharType="begin"/>
      </w:r>
      <w:r>
        <w:instrText xml:space="preserve"> HYPERLINK "https://www.ksu.edu.tr/default.aspx?DId=101962" \h </w:instrText>
      </w:r>
      <w:r>
        <w:fldChar w:fldCharType="separate"/>
      </w:r>
      <w:r>
        <w:rPr>
          <w:rFonts w:ascii="Times New Roman" w:hAnsi="Times New Roman" w:eastAsia="Times New Roman" w:cs="Times New Roman"/>
          <w:color w:val="0563C1"/>
          <w:sz w:val="24"/>
          <w:szCs w:val="24"/>
          <w:u w:val="single"/>
        </w:rPr>
        <w:t>OD3</w:t>
      </w:r>
      <w:r>
        <w:rPr>
          <w:rFonts w:ascii="Times New Roman" w:hAnsi="Times New Roman" w:eastAsia="Times New Roman" w:cs="Times New Roman"/>
          <w:color w:val="0563C1"/>
          <w:sz w:val="24"/>
          <w:szCs w:val="24"/>
          <w:u w:val="single"/>
        </w:rPr>
        <w:fldChar w:fldCharType="end"/>
      </w:r>
      <w:r>
        <w:rPr>
          <w:rFonts w:ascii="Times New Roman" w:hAnsi="Times New Roman" w:eastAsia="Times New Roman" w:cs="Times New Roman"/>
          <w:color w:val="0563C1"/>
          <w:sz w:val="24"/>
          <w:szCs w:val="24"/>
          <w:u w:val="single"/>
        </w:rPr>
        <w:t>]</w:t>
      </w:r>
      <w:r>
        <w:rPr>
          <w:rFonts w:ascii="Times New Roman" w:hAnsi="Times New Roman" w:eastAsia="Times New Roman" w:cs="Times New Roman"/>
          <w:sz w:val="24"/>
          <w:szCs w:val="24"/>
        </w:rPr>
        <w:t>.</w:t>
      </w:r>
    </w:p>
    <w:p w14:paraId="6222F031">
      <w:pPr>
        <w:spacing w:line="360" w:lineRule="auto"/>
        <w:jc w:val="both"/>
        <w:rPr>
          <w:rFonts w:ascii="Times New Roman" w:hAnsi="Times New Roman" w:eastAsia="Times New Roman" w:cs="Times New Roman"/>
          <w:sz w:val="24"/>
          <w:szCs w:val="24"/>
        </w:rPr>
      </w:pPr>
    </w:p>
    <w:p w14:paraId="64452FC2">
      <w:pPr>
        <w:spacing w:line="360" w:lineRule="auto"/>
        <w:jc w:val="both"/>
        <w:rPr>
          <w:rFonts w:ascii="Times New Roman" w:hAnsi="Times New Roman" w:eastAsia="Times New Roman" w:cs="Times New Roman"/>
          <w:sz w:val="24"/>
          <w:szCs w:val="24"/>
        </w:rPr>
      </w:pPr>
    </w:p>
    <w:p w14:paraId="3DC64A2C">
      <w:pPr>
        <w:spacing w:line="360" w:lineRule="auto"/>
        <w:jc w:val="both"/>
        <w:rPr>
          <w:rFonts w:ascii="Times New Roman" w:hAnsi="Times New Roman" w:eastAsia="Times New Roman" w:cs="Times New Roman"/>
          <w:sz w:val="24"/>
          <w:szCs w:val="24"/>
        </w:rPr>
      </w:pPr>
    </w:p>
    <w:p w14:paraId="645B2929">
      <w:pPr>
        <w:spacing w:line="360" w:lineRule="auto"/>
        <w:jc w:val="both"/>
        <w:rPr>
          <w:rFonts w:ascii="Times New Roman" w:hAnsi="Times New Roman" w:eastAsia="Times New Roman" w:cs="Times New Roman"/>
          <w:sz w:val="24"/>
          <w:szCs w:val="24"/>
        </w:rPr>
      </w:pPr>
    </w:p>
    <w:p w14:paraId="149FCB54">
      <w:pPr>
        <w:pStyle w:val="3"/>
        <w:spacing w:line="360" w:lineRule="auto"/>
      </w:pPr>
      <w:r>
        <w:rPr>
          <w:rFonts w:ascii="Times New Roman" w:hAnsi="Times New Roman" w:eastAsia="Times New Roman" w:cs="Times New Roman"/>
          <w:color w:val="1F4E79" w:themeColor="accent5" w:themeShade="80"/>
          <w:szCs w:val="24"/>
        </w:rPr>
        <w:t xml:space="preserve">B. </w:t>
      </w:r>
      <w:r>
        <w:rPr>
          <w:color w:val="1F4E79" w:themeColor="accent5" w:themeShade="80"/>
          <w:szCs w:val="24"/>
        </w:rPr>
        <w:t>EĞİTİM ve ÖĞRETİM</w:t>
      </w:r>
      <w:r>
        <w:rPr>
          <w:rFonts w:ascii="Times New Roman" w:hAnsi="Times New Roman" w:eastAsia="Times New Roman" w:cs="Times New Roman"/>
          <w:color w:val="1F4E79" w:themeColor="accent5" w:themeShade="80"/>
          <w:szCs w:val="24"/>
        </w:rPr>
        <w:t xml:space="preserve"> SAĞLIK BİLİMLERİ FAKÜLTESİ </w:t>
      </w:r>
      <w:r>
        <w:rPr>
          <w:rFonts w:ascii="Times New Roman" w:hAnsi="Times New Roman" w:eastAsia="Times New Roman" w:cs="Times New Roman"/>
          <w:color w:val="2F5597" w:themeColor="accent1" w:themeShade="BF"/>
          <w:szCs w:val="24"/>
        </w:rPr>
        <w:t xml:space="preserve">OLGUNLUK DÜZEYLERİ </w:t>
      </w:r>
    </w:p>
    <w:tbl>
      <w:tblPr>
        <w:tblStyle w:val="9"/>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5655"/>
        <w:gridCol w:w="2970"/>
      </w:tblGrid>
      <w:tr w14:paraId="21CDEAA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00AE58BF">
            <w:pPr>
              <w:jc w:val="center"/>
            </w:pPr>
            <w:r>
              <w:rPr>
                <w:rFonts w:ascii="Times New Roman" w:hAnsi="Times New Roman" w:eastAsia="Times New Roman" w:cs="Times New Roman"/>
                <w:sz w:val="24"/>
                <w:szCs w:val="24"/>
              </w:rPr>
              <w:t xml:space="preserve"> </w:t>
            </w:r>
          </w:p>
        </w:tc>
        <w:tc>
          <w:tcPr>
            <w:tcW w:w="2970" w:type="dxa"/>
            <w:tcBorders>
              <w:top w:val="single" w:color="auto" w:sz="8" w:space="0"/>
              <w:left w:val="single" w:color="auto" w:sz="8" w:space="0"/>
              <w:bottom w:val="single" w:color="auto" w:sz="8" w:space="0"/>
              <w:right w:val="single" w:color="auto" w:sz="8" w:space="0"/>
            </w:tcBorders>
          </w:tcPr>
          <w:p w14:paraId="4AA13377">
            <w:pPr>
              <w:jc w:val="center"/>
            </w:pPr>
            <w:r>
              <w:rPr>
                <w:rFonts w:ascii="Times New Roman" w:hAnsi="Times New Roman" w:eastAsia="Times New Roman" w:cs="Times New Roman"/>
                <w:b/>
                <w:bCs/>
                <w:sz w:val="24"/>
                <w:szCs w:val="24"/>
              </w:rPr>
              <w:t>Olgunluk Düzeyi</w:t>
            </w:r>
            <w:r>
              <w:rPr>
                <w:rFonts w:ascii="Times New Roman" w:hAnsi="Times New Roman" w:eastAsia="Times New Roman" w:cs="Times New Roman"/>
                <w:sz w:val="24"/>
                <w:szCs w:val="24"/>
              </w:rPr>
              <w:t xml:space="preserve"> </w:t>
            </w:r>
          </w:p>
        </w:tc>
      </w:tr>
      <w:tr w14:paraId="602069F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2E90D758">
            <w:pPr>
              <w:pStyle w:val="3"/>
              <w:spacing w:line="360" w:lineRule="auto"/>
            </w:pPr>
            <w:r>
              <w:rPr>
                <w:sz w:val="22"/>
                <w:szCs w:val="22"/>
              </w:rPr>
              <w:t>B.1. Program Tasarımı, Değerlendirmesi ve Güncellenmesi</w:t>
            </w:r>
          </w:p>
        </w:tc>
        <w:tc>
          <w:tcPr>
            <w:tcW w:w="2970"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5BC5D031">
            <w:r>
              <w:rPr>
                <w:rFonts w:ascii="Times New Roman" w:hAnsi="Times New Roman" w:eastAsia="Times New Roman" w:cs="Times New Roman"/>
                <w:sz w:val="24"/>
                <w:szCs w:val="24"/>
              </w:rPr>
              <w:t xml:space="preserve">  </w:t>
            </w:r>
          </w:p>
        </w:tc>
      </w:tr>
      <w:tr w14:paraId="3F81A0F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03D80084">
            <w:pPr>
              <w:spacing w:line="360" w:lineRule="auto"/>
              <w:jc w:val="both"/>
            </w:pPr>
            <w:r>
              <w:rPr>
                <w:rFonts w:ascii="Times New Roman" w:hAnsi="Times New Roman" w:eastAsia="Times New Roman" w:cs="Times New Roman"/>
              </w:rPr>
              <w:t>B.1.2. Programın ders dağılım dengesi</w:t>
            </w:r>
          </w:p>
        </w:tc>
        <w:tc>
          <w:tcPr>
            <w:tcW w:w="2970" w:type="dxa"/>
            <w:tcBorders>
              <w:top w:val="single" w:color="auto" w:sz="8" w:space="0"/>
              <w:left w:val="single" w:color="auto" w:sz="8" w:space="0"/>
              <w:bottom w:val="single" w:color="auto" w:sz="8" w:space="0"/>
              <w:right w:val="single" w:color="auto" w:sz="8" w:space="0"/>
            </w:tcBorders>
          </w:tcPr>
          <w:p w14:paraId="265A4CC1">
            <w:pPr>
              <w:jc w:val="center"/>
              <w:rPr>
                <w:rFonts w:hint="default"/>
                <w:lang w:val="tr-TR"/>
              </w:rPr>
            </w:pPr>
            <w:r>
              <w:rPr>
                <w:rFonts w:hint="default"/>
                <w:lang w:val="tr-TR"/>
              </w:rPr>
              <w:t>4</w:t>
            </w:r>
          </w:p>
        </w:tc>
      </w:tr>
      <w:tr w14:paraId="6E32256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20BDABDB">
            <w:pPr>
              <w:spacing w:line="360" w:lineRule="auto"/>
              <w:jc w:val="both"/>
            </w:pPr>
            <w:r>
              <w:rPr>
                <w:rFonts w:ascii="Times New Roman" w:hAnsi="Times New Roman" w:eastAsia="Times New Roman" w:cs="Times New Roman"/>
              </w:rPr>
              <w:t>B.1.3. Ders kazanımlarının program çıktılarıyla uyumu</w:t>
            </w:r>
          </w:p>
        </w:tc>
        <w:tc>
          <w:tcPr>
            <w:tcW w:w="2970" w:type="dxa"/>
            <w:tcBorders>
              <w:top w:val="single" w:color="auto" w:sz="8" w:space="0"/>
              <w:left w:val="single" w:color="auto" w:sz="8" w:space="0"/>
              <w:bottom w:val="single" w:color="auto" w:sz="8" w:space="0"/>
              <w:right w:val="single" w:color="auto" w:sz="8" w:space="0"/>
            </w:tcBorders>
          </w:tcPr>
          <w:p w14:paraId="77ACCCF4">
            <w:pPr>
              <w:jc w:val="center"/>
            </w:pPr>
            <w:r>
              <w:t>3</w:t>
            </w:r>
          </w:p>
        </w:tc>
      </w:tr>
      <w:tr w14:paraId="65B9BE6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D5F4925">
            <w:pPr>
              <w:spacing w:line="360" w:lineRule="auto"/>
              <w:jc w:val="both"/>
            </w:pPr>
            <w:r>
              <w:rPr>
                <w:rFonts w:ascii="Times New Roman" w:hAnsi="Times New Roman" w:eastAsia="Times New Roman" w:cs="Times New Roman"/>
              </w:rPr>
              <w:t>B.1.4. Öğrenci iş yüküne dayalı ders tasarımı</w:t>
            </w:r>
          </w:p>
        </w:tc>
        <w:tc>
          <w:tcPr>
            <w:tcW w:w="2970" w:type="dxa"/>
            <w:tcBorders>
              <w:top w:val="single" w:color="auto" w:sz="8" w:space="0"/>
              <w:left w:val="single" w:color="auto" w:sz="8" w:space="0"/>
              <w:bottom w:val="single" w:color="auto" w:sz="8" w:space="0"/>
              <w:right w:val="single" w:color="auto" w:sz="8" w:space="0"/>
            </w:tcBorders>
          </w:tcPr>
          <w:p w14:paraId="41A26C6A">
            <w:pPr>
              <w:jc w:val="center"/>
            </w:pPr>
            <w:r>
              <w:t>3</w:t>
            </w:r>
          </w:p>
        </w:tc>
      </w:tr>
      <w:tr w14:paraId="35634C7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FFBE70D">
            <w:pPr>
              <w:spacing w:line="360" w:lineRule="auto"/>
              <w:jc w:val="both"/>
            </w:pPr>
            <w:r>
              <w:rPr>
                <w:rFonts w:ascii="Times New Roman" w:hAnsi="Times New Roman" w:eastAsia="Times New Roman" w:cs="Times New Roman"/>
              </w:rPr>
              <w:t>B.1.5. Programların izlenmesi ve güncellenmesi</w:t>
            </w:r>
          </w:p>
        </w:tc>
        <w:tc>
          <w:tcPr>
            <w:tcW w:w="2970" w:type="dxa"/>
            <w:tcBorders>
              <w:top w:val="single" w:color="auto" w:sz="8" w:space="0"/>
              <w:left w:val="single" w:color="auto" w:sz="8" w:space="0"/>
              <w:bottom w:val="single" w:color="auto" w:sz="8" w:space="0"/>
              <w:right w:val="single" w:color="auto" w:sz="8" w:space="0"/>
            </w:tcBorders>
          </w:tcPr>
          <w:p w14:paraId="1DE77CB3">
            <w:pPr>
              <w:jc w:val="center"/>
            </w:pPr>
            <w:r>
              <w:t>3</w:t>
            </w:r>
          </w:p>
        </w:tc>
      </w:tr>
      <w:tr w14:paraId="5C0BEF1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3C70D34">
            <w:pPr>
              <w:spacing w:line="360" w:lineRule="auto"/>
              <w:jc w:val="both"/>
            </w:pPr>
            <w:r>
              <w:rPr>
                <w:rFonts w:ascii="Times New Roman" w:hAnsi="Times New Roman" w:eastAsia="Times New Roman" w:cs="Times New Roman"/>
              </w:rPr>
              <w:t>B.1.6. Eğitim ve öğretim süreçlerinin yönetimi</w:t>
            </w:r>
          </w:p>
        </w:tc>
        <w:tc>
          <w:tcPr>
            <w:tcW w:w="2970" w:type="dxa"/>
            <w:tcBorders>
              <w:top w:val="single" w:color="auto" w:sz="8" w:space="0"/>
              <w:left w:val="single" w:color="auto" w:sz="8" w:space="0"/>
              <w:bottom w:val="single" w:color="auto" w:sz="8" w:space="0"/>
              <w:right w:val="single" w:color="auto" w:sz="8" w:space="0"/>
            </w:tcBorders>
          </w:tcPr>
          <w:p w14:paraId="25EF1473">
            <w:pPr>
              <w:jc w:val="center"/>
            </w:pPr>
            <w:r>
              <w:t>3</w:t>
            </w:r>
          </w:p>
        </w:tc>
      </w:tr>
      <w:tr w14:paraId="7F3DBC2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5B93ACD6">
            <w:pPr>
              <w:spacing w:line="360" w:lineRule="auto"/>
              <w:jc w:val="both"/>
            </w:pPr>
            <w:r>
              <w:rPr>
                <w:rFonts w:ascii="Times New Roman" w:hAnsi="Times New Roman" w:eastAsia="Times New Roman" w:cs="Times New Roman"/>
                <w:b/>
                <w:bCs/>
                <w:sz w:val="24"/>
                <w:szCs w:val="24"/>
              </w:rPr>
              <w:t>B.2. Programların Yürütülmesi</w:t>
            </w:r>
          </w:p>
        </w:tc>
        <w:tc>
          <w:tcPr>
            <w:tcW w:w="2970"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1151B28B">
            <w:pPr>
              <w:jc w:val="center"/>
            </w:pPr>
          </w:p>
        </w:tc>
      </w:tr>
      <w:tr w14:paraId="462FE7C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59C7981">
            <w:r>
              <w:rPr>
                <w:rFonts w:ascii="Times New Roman" w:hAnsi="Times New Roman" w:eastAsia="Times New Roman" w:cs="Times New Roman"/>
                <w:sz w:val="24"/>
                <w:szCs w:val="24"/>
              </w:rPr>
              <w:t>B.2.1. Öğretim yöntem ve teknikleri</w:t>
            </w:r>
          </w:p>
        </w:tc>
        <w:tc>
          <w:tcPr>
            <w:tcW w:w="2970" w:type="dxa"/>
            <w:tcBorders>
              <w:top w:val="single" w:color="auto" w:sz="8" w:space="0"/>
              <w:left w:val="single" w:color="auto" w:sz="8" w:space="0"/>
              <w:bottom w:val="single" w:color="auto" w:sz="8" w:space="0"/>
              <w:right w:val="single" w:color="auto" w:sz="8" w:space="0"/>
            </w:tcBorders>
          </w:tcPr>
          <w:p w14:paraId="18C0FDB3">
            <w:pPr>
              <w:jc w:val="center"/>
            </w:pPr>
            <w:r>
              <w:t>4</w:t>
            </w:r>
          </w:p>
        </w:tc>
      </w:tr>
      <w:tr w14:paraId="74A04A9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01E58224">
            <w:pPr>
              <w:spacing w:line="360" w:lineRule="auto"/>
              <w:jc w:val="both"/>
            </w:pPr>
            <w:r>
              <w:rPr>
                <w:rFonts w:ascii="Times New Roman" w:hAnsi="Times New Roman" w:eastAsia="Times New Roman" w:cs="Times New Roman"/>
                <w:sz w:val="24"/>
                <w:szCs w:val="24"/>
              </w:rPr>
              <w:t xml:space="preserve">B.2.2. Ölçme ve değerlendirme </w:t>
            </w:r>
          </w:p>
        </w:tc>
        <w:tc>
          <w:tcPr>
            <w:tcW w:w="2970" w:type="dxa"/>
            <w:tcBorders>
              <w:top w:val="single" w:color="auto" w:sz="8" w:space="0"/>
              <w:left w:val="single" w:color="auto" w:sz="8" w:space="0"/>
              <w:bottom w:val="single" w:color="auto" w:sz="8" w:space="0"/>
              <w:right w:val="single" w:color="auto" w:sz="8" w:space="0"/>
            </w:tcBorders>
          </w:tcPr>
          <w:p w14:paraId="6CEF3AF8">
            <w:pPr>
              <w:jc w:val="center"/>
            </w:pPr>
            <w:r>
              <w:t>4</w:t>
            </w:r>
          </w:p>
        </w:tc>
      </w:tr>
      <w:tr w14:paraId="2503972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0C0B07F">
            <w:pPr>
              <w:spacing w:line="360" w:lineRule="auto"/>
              <w:jc w:val="both"/>
            </w:pPr>
            <w:r>
              <w:rPr>
                <w:rFonts w:ascii="Times New Roman" w:hAnsi="Times New Roman" w:eastAsia="Times New Roman" w:cs="Times New Roman"/>
                <w:sz w:val="24"/>
                <w:szCs w:val="24"/>
              </w:rPr>
              <w:t>B.2.3. Öğrenci kabulü, önceki öğrenmenin tanınması ve kredilendirilmesi</w:t>
            </w:r>
          </w:p>
        </w:tc>
        <w:tc>
          <w:tcPr>
            <w:tcW w:w="2970" w:type="dxa"/>
            <w:tcBorders>
              <w:top w:val="single" w:color="auto" w:sz="8" w:space="0"/>
              <w:left w:val="single" w:color="auto" w:sz="8" w:space="0"/>
              <w:bottom w:val="single" w:color="auto" w:sz="8" w:space="0"/>
              <w:right w:val="single" w:color="auto" w:sz="8" w:space="0"/>
            </w:tcBorders>
          </w:tcPr>
          <w:p w14:paraId="691B6695">
            <w:pPr>
              <w:jc w:val="center"/>
            </w:pPr>
            <w:r>
              <w:t>3</w:t>
            </w:r>
          </w:p>
        </w:tc>
      </w:tr>
      <w:tr w14:paraId="6D04927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C01B75A">
            <w:pPr>
              <w:spacing w:line="360" w:lineRule="auto"/>
              <w:jc w:val="both"/>
            </w:pPr>
            <w:r>
              <w:rPr>
                <w:rFonts w:ascii="Times New Roman" w:hAnsi="Times New Roman" w:eastAsia="Times New Roman" w:cs="Times New Roman"/>
                <w:sz w:val="24"/>
                <w:szCs w:val="24"/>
              </w:rPr>
              <w:t>B.2.4. Yeterliliklerin sertifikalandırılması ve diploma</w:t>
            </w:r>
          </w:p>
        </w:tc>
        <w:tc>
          <w:tcPr>
            <w:tcW w:w="2970" w:type="dxa"/>
            <w:tcBorders>
              <w:top w:val="single" w:color="auto" w:sz="8" w:space="0"/>
              <w:left w:val="single" w:color="auto" w:sz="8" w:space="0"/>
              <w:bottom w:val="single" w:color="auto" w:sz="8" w:space="0"/>
              <w:right w:val="single" w:color="auto" w:sz="8" w:space="0"/>
            </w:tcBorders>
          </w:tcPr>
          <w:p w14:paraId="7885176E">
            <w:pPr>
              <w:jc w:val="center"/>
            </w:pPr>
            <w:r>
              <w:t>3</w:t>
            </w:r>
          </w:p>
        </w:tc>
      </w:tr>
      <w:tr w14:paraId="00ABC49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1C3314A8">
            <w:pPr>
              <w:spacing w:line="360" w:lineRule="auto"/>
              <w:jc w:val="both"/>
            </w:pPr>
            <w:r>
              <w:rPr>
                <w:rFonts w:ascii="Times New Roman" w:hAnsi="Times New Roman" w:eastAsia="Times New Roman" w:cs="Times New Roman"/>
                <w:b/>
                <w:bCs/>
                <w:sz w:val="24"/>
                <w:szCs w:val="24"/>
              </w:rPr>
              <w:t>B.3.  Öğrenme Kaynakları ve Akademik Destek Hizmetleri</w:t>
            </w:r>
          </w:p>
        </w:tc>
        <w:tc>
          <w:tcPr>
            <w:tcW w:w="2970"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43417641">
            <w:pPr>
              <w:jc w:val="center"/>
            </w:pPr>
          </w:p>
        </w:tc>
      </w:tr>
      <w:tr w14:paraId="2FEA758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787F69AB">
            <w:pPr>
              <w:jc w:val="both"/>
            </w:pPr>
            <w:r>
              <w:rPr>
                <w:rFonts w:ascii="Times New Roman" w:hAnsi="Times New Roman" w:eastAsia="Times New Roman" w:cs="Times New Roman"/>
                <w:sz w:val="24"/>
                <w:szCs w:val="24"/>
              </w:rPr>
              <w:t>B.3.1. Öğrenme ortam ve kaynakları</w:t>
            </w:r>
          </w:p>
        </w:tc>
        <w:tc>
          <w:tcPr>
            <w:tcW w:w="2970" w:type="dxa"/>
            <w:tcBorders>
              <w:top w:val="single" w:color="auto" w:sz="8" w:space="0"/>
              <w:left w:val="single" w:color="auto" w:sz="8" w:space="0"/>
              <w:bottom w:val="single" w:color="auto" w:sz="8" w:space="0"/>
              <w:right w:val="single" w:color="auto" w:sz="8" w:space="0"/>
            </w:tcBorders>
          </w:tcPr>
          <w:p w14:paraId="4FB1CD66">
            <w:pPr>
              <w:jc w:val="center"/>
            </w:pPr>
            <w:r>
              <w:t>3</w:t>
            </w:r>
          </w:p>
        </w:tc>
      </w:tr>
      <w:tr w14:paraId="455CD7D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14267FD">
            <w:pPr>
              <w:spacing w:line="360" w:lineRule="auto"/>
              <w:jc w:val="both"/>
            </w:pPr>
            <w:r>
              <w:rPr>
                <w:rFonts w:ascii="Times New Roman" w:hAnsi="Times New Roman" w:eastAsia="Times New Roman" w:cs="Times New Roman"/>
                <w:sz w:val="24"/>
                <w:szCs w:val="24"/>
              </w:rPr>
              <w:t>B.3.2. Akademik destek hizmetleri</w:t>
            </w:r>
          </w:p>
        </w:tc>
        <w:tc>
          <w:tcPr>
            <w:tcW w:w="2970" w:type="dxa"/>
            <w:tcBorders>
              <w:top w:val="single" w:color="auto" w:sz="8" w:space="0"/>
              <w:left w:val="single" w:color="auto" w:sz="8" w:space="0"/>
              <w:bottom w:val="single" w:color="auto" w:sz="8" w:space="0"/>
              <w:right w:val="single" w:color="auto" w:sz="8" w:space="0"/>
            </w:tcBorders>
          </w:tcPr>
          <w:p w14:paraId="15435F78">
            <w:pPr>
              <w:jc w:val="center"/>
            </w:pPr>
            <w:r>
              <w:t>3</w:t>
            </w:r>
          </w:p>
        </w:tc>
      </w:tr>
      <w:tr w14:paraId="27CEAF9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2EA52109">
            <w:pPr>
              <w:spacing w:line="360" w:lineRule="auto"/>
              <w:jc w:val="both"/>
            </w:pPr>
            <w:r>
              <w:rPr>
                <w:rFonts w:ascii="Times New Roman" w:hAnsi="Times New Roman" w:eastAsia="Times New Roman" w:cs="Times New Roman"/>
                <w:sz w:val="24"/>
                <w:szCs w:val="24"/>
              </w:rPr>
              <w:t xml:space="preserve">B.3.3. Tesis ve altyapılar </w:t>
            </w:r>
          </w:p>
        </w:tc>
        <w:tc>
          <w:tcPr>
            <w:tcW w:w="2970" w:type="dxa"/>
            <w:tcBorders>
              <w:top w:val="single" w:color="auto" w:sz="8" w:space="0"/>
              <w:left w:val="single" w:color="auto" w:sz="8" w:space="0"/>
              <w:bottom w:val="single" w:color="auto" w:sz="8" w:space="0"/>
              <w:right w:val="single" w:color="auto" w:sz="8" w:space="0"/>
            </w:tcBorders>
          </w:tcPr>
          <w:p w14:paraId="7BC49965">
            <w:pPr>
              <w:jc w:val="center"/>
            </w:pPr>
            <w:r>
              <w:t>3</w:t>
            </w:r>
          </w:p>
        </w:tc>
      </w:tr>
      <w:tr w14:paraId="2ACA169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85456A6">
            <w:pPr>
              <w:spacing w:line="360" w:lineRule="auto"/>
              <w:jc w:val="both"/>
            </w:pPr>
            <w:r>
              <w:rPr>
                <w:rFonts w:ascii="Times New Roman" w:hAnsi="Times New Roman" w:eastAsia="Times New Roman" w:cs="Times New Roman"/>
                <w:sz w:val="24"/>
                <w:szCs w:val="24"/>
              </w:rPr>
              <w:t>B.3.4. Dezavantajlı gruplar</w:t>
            </w:r>
          </w:p>
        </w:tc>
        <w:tc>
          <w:tcPr>
            <w:tcW w:w="2970" w:type="dxa"/>
            <w:tcBorders>
              <w:top w:val="single" w:color="auto" w:sz="8" w:space="0"/>
              <w:left w:val="single" w:color="auto" w:sz="8" w:space="0"/>
              <w:bottom w:val="single" w:color="auto" w:sz="8" w:space="0"/>
              <w:right w:val="single" w:color="auto" w:sz="8" w:space="0"/>
            </w:tcBorders>
          </w:tcPr>
          <w:p w14:paraId="1CDE7D52">
            <w:pPr>
              <w:jc w:val="center"/>
            </w:pPr>
            <w:r>
              <w:t>3</w:t>
            </w:r>
          </w:p>
        </w:tc>
      </w:tr>
      <w:tr w14:paraId="7F90BAE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3A876638">
            <w:pPr>
              <w:spacing w:line="360" w:lineRule="auto"/>
              <w:jc w:val="both"/>
            </w:pPr>
            <w:r>
              <w:rPr>
                <w:rFonts w:ascii="Times New Roman" w:hAnsi="Times New Roman" w:eastAsia="Times New Roman" w:cs="Times New Roman"/>
                <w:sz w:val="24"/>
                <w:szCs w:val="24"/>
              </w:rPr>
              <w:t>B.3.5. Sosyal, kültürel, sportif faaliyetler</w:t>
            </w:r>
          </w:p>
        </w:tc>
        <w:tc>
          <w:tcPr>
            <w:tcW w:w="2970" w:type="dxa"/>
            <w:tcBorders>
              <w:top w:val="single" w:color="auto" w:sz="8" w:space="0"/>
              <w:left w:val="single" w:color="auto" w:sz="8" w:space="0"/>
              <w:bottom w:val="single" w:color="auto" w:sz="8" w:space="0"/>
              <w:right w:val="single" w:color="auto" w:sz="8" w:space="0"/>
            </w:tcBorders>
          </w:tcPr>
          <w:p w14:paraId="622EEDE9">
            <w:pPr>
              <w:jc w:val="center"/>
            </w:pPr>
            <w:r>
              <w:t>3</w:t>
            </w:r>
          </w:p>
        </w:tc>
      </w:tr>
      <w:tr w14:paraId="03FCBAA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459447D1">
            <w:pPr>
              <w:spacing w:line="360" w:lineRule="auto"/>
              <w:jc w:val="both"/>
            </w:pPr>
            <w:r>
              <w:rPr>
                <w:rFonts w:ascii="Times New Roman" w:hAnsi="Times New Roman" w:eastAsia="Times New Roman" w:cs="Times New Roman"/>
                <w:b/>
                <w:bCs/>
                <w:sz w:val="24"/>
                <w:szCs w:val="24"/>
              </w:rPr>
              <w:t xml:space="preserve">B.4. Öğretim Kadrosu </w:t>
            </w:r>
          </w:p>
        </w:tc>
        <w:tc>
          <w:tcPr>
            <w:tcW w:w="2970"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14:paraId="77B7EE0D">
            <w:pPr>
              <w:jc w:val="center"/>
            </w:pPr>
            <w:r>
              <w:rPr>
                <w:rFonts w:ascii="Times New Roman" w:hAnsi="Times New Roman" w:eastAsia="Times New Roman" w:cs="Times New Roman"/>
                <w:b/>
                <w:bCs/>
                <w:sz w:val="24"/>
                <w:szCs w:val="24"/>
              </w:rPr>
              <w:t xml:space="preserve"> </w:t>
            </w:r>
          </w:p>
        </w:tc>
      </w:tr>
      <w:tr w14:paraId="3F8DAF8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F3CD8A7">
            <w:pPr>
              <w:spacing w:line="360" w:lineRule="auto"/>
              <w:jc w:val="both"/>
            </w:pPr>
            <w:r>
              <w:rPr>
                <w:rFonts w:ascii="Times New Roman" w:hAnsi="Times New Roman" w:eastAsia="Times New Roman" w:cs="Times New Roman"/>
                <w:sz w:val="24"/>
                <w:szCs w:val="24"/>
              </w:rPr>
              <w:t>B.4.1. Atama, yükseltme ve görevlendirme kriterleri</w:t>
            </w:r>
          </w:p>
        </w:tc>
        <w:tc>
          <w:tcPr>
            <w:tcW w:w="2970" w:type="dxa"/>
            <w:tcBorders>
              <w:top w:val="single" w:color="auto" w:sz="8" w:space="0"/>
              <w:left w:val="single" w:color="auto" w:sz="8" w:space="0"/>
              <w:bottom w:val="single" w:color="auto" w:sz="8" w:space="0"/>
              <w:right w:val="single" w:color="auto" w:sz="8" w:space="0"/>
            </w:tcBorders>
          </w:tcPr>
          <w:p w14:paraId="383BBE2C">
            <w:pPr>
              <w:jc w:val="center"/>
            </w:pPr>
            <w:r>
              <w:t>3</w:t>
            </w:r>
          </w:p>
        </w:tc>
      </w:tr>
      <w:tr w14:paraId="3E54540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9122E32">
            <w:pPr>
              <w:spacing w:line="360" w:lineRule="auto"/>
              <w:jc w:val="both"/>
            </w:pPr>
            <w:r>
              <w:rPr>
                <w:rFonts w:ascii="Times New Roman" w:hAnsi="Times New Roman" w:eastAsia="Times New Roman" w:cs="Times New Roman"/>
                <w:sz w:val="24"/>
                <w:szCs w:val="24"/>
              </w:rPr>
              <w:t xml:space="preserve">B.4.2. Öğretim yetkinlikleri ve gelişimi </w:t>
            </w:r>
          </w:p>
        </w:tc>
        <w:tc>
          <w:tcPr>
            <w:tcW w:w="2970" w:type="dxa"/>
            <w:tcBorders>
              <w:top w:val="single" w:color="auto" w:sz="8" w:space="0"/>
              <w:left w:val="single" w:color="auto" w:sz="8" w:space="0"/>
              <w:bottom w:val="single" w:color="auto" w:sz="8" w:space="0"/>
              <w:right w:val="single" w:color="auto" w:sz="8" w:space="0"/>
            </w:tcBorders>
          </w:tcPr>
          <w:p w14:paraId="465A203A">
            <w:pPr>
              <w:jc w:val="center"/>
            </w:pPr>
            <w:r>
              <w:t>3</w:t>
            </w:r>
          </w:p>
        </w:tc>
      </w:tr>
      <w:tr w14:paraId="1DB8E73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F42FA1B">
            <w:pPr>
              <w:spacing w:line="360" w:lineRule="auto"/>
              <w:jc w:val="both"/>
            </w:pPr>
            <w:r>
              <w:rPr>
                <w:rFonts w:ascii="Times New Roman" w:hAnsi="Times New Roman" w:eastAsia="Times New Roman" w:cs="Times New Roman"/>
                <w:sz w:val="24"/>
                <w:szCs w:val="24"/>
              </w:rPr>
              <w:t>B.4.3. Eğitim faaliyetlerine yönelik teşvik ve ödüllendirme</w:t>
            </w:r>
          </w:p>
        </w:tc>
        <w:tc>
          <w:tcPr>
            <w:tcW w:w="2970" w:type="dxa"/>
            <w:tcBorders>
              <w:top w:val="single" w:color="auto" w:sz="8" w:space="0"/>
              <w:left w:val="single" w:color="auto" w:sz="8" w:space="0"/>
              <w:bottom w:val="single" w:color="auto" w:sz="8" w:space="0"/>
              <w:right w:val="single" w:color="auto" w:sz="8" w:space="0"/>
            </w:tcBorders>
          </w:tcPr>
          <w:p w14:paraId="1C7337FC">
            <w:pPr>
              <w:jc w:val="center"/>
              <w:rPr>
                <w:rFonts w:hint="default"/>
                <w:lang w:val="tr-TR"/>
              </w:rPr>
            </w:pPr>
            <w:r>
              <w:rPr>
                <w:rFonts w:hint="default"/>
                <w:lang w:val="tr-TR"/>
              </w:rPr>
              <w:t>2</w:t>
            </w:r>
          </w:p>
        </w:tc>
      </w:tr>
    </w:tbl>
    <w:p w14:paraId="376722E3">
      <w:pPr>
        <w:pStyle w:val="2"/>
        <w:spacing w:line="360" w:lineRule="auto"/>
        <w:rPr>
          <w:rFonts w:ascii="Times New Roman" w:hAnsi="Times New Roman" w:cs="Times New Roman"/>
          <w:color w:val="FF0000"/>
          <w:sz w:val="28"/>
          <w:szCs w:val="24"/>
        </w:rPr>
      </w:pPr>
    </w:p>
    <w:p w14:paraId="3E8679C6">
      <w:pPr>
        <w:pStyle w:val="2"/>
        <w:spacing w:line="360" w:lineRule="auto"/>
        <w:rPr>
          <w:rFonts w:ascii="Times New Roman" w:hAnsi="Times New Roman" w:cs="Times New Roman"/>
          <w:color w:val="FF0000"/>
          <w:sz w:val="28"/>
          <w:szCs w:val="24"/>
        </w:rPr>
      </w:pPr>
      <w:r>
        <w:rPr>
          <w:rFonts w:ascii="Times New Roman" w:hAnsi="Times New Roman" w:cs="Times New Roman"/>
          <w:color w:val="FF0000"/>
          <w:sz w:val="28"/>
          <w:szCs w:val="24"/>
        </w:rPr>
        <w:t>C- ARAŞTIRMA VE GELİŞTİRME</w:t>
      </w:r>
    </w:p>
    <w:p w14:paraId="0A3EBA98">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Kurumumuzun araştırma faaliyetlerini stratejik planı çerçevesinde belirlenen ile yerel, bölgesel araştırmaları desteklemek amacıyla KSÜ Bilimsel Araştırma Projeleri Yönergesi gereği İlimizde Ar-Ge eksikliği nedeniyle yapılamayan ancak araştırılmasında fayda görülen konularda %30-50 oranında ilave destek verilen çalışmalar kapsamında isteyen araştırmacılara olanak sağlamakla beraber araştırma potansiyelini geliştirmek üzere proje, konferans katılımı, seyahat, uzman daveti destekleri, kişisel fonlar, motivasyonu arttırmak üzere ödül ve rekabetçi yükseltme uygulamaları yetersizdir ve bulunması ve bunların kurum içi kullanım tanınırlığı yetersizdir.</w:t>
      </w:r>
      <w:r>
        <w:rPr>
          <w:rFonts w:hint="default" w:ascii="Times New Roman" w:hAnsi="Times New Roman" w:cs="Times New Roman"/>
          <w:b w:val="0"/>
          <w:bCs w:val="0"/>
          <w:color w:val="auto"/>
          <w:sz w:val="24"/>
          <w:szCs w:val="22"/>
          <w:lang w:val="tr-TR"/>
        </w:rPr>
        <w:t xml:space="preserve"> </w:t>
      </w:r>
      <w:r>
        <w:rPr>
          <w:rFonts w:ascii="Times New Roman" w:hAnsi="Times New Roman" w:cs="Times New Roman"/>
          <w:b w:val="0"/>
          <w:bCs w:val="0"/>
          <w:color w:val="auto"/>
          <w:sz w:val="24"/>
          <w:szCs w:val="22"/>
        </w:rPr>
        <w:t>Kurum tarafından bilimsel faaliyetler için yolluk ve kongre katılım ücretleri ödenmektedir. Ancak araştırma potansiyelini geliştirmek üzere proje, konferans katılımı, seyahat, uzman daveti destekleri, kişisel fonlar, motivasyonu arttırmak üzere ödül ve rekabetçi yükseltme kriterleri mevcut değildir. Stratejik Plan, Performans Programı ve Bütçe Komisyonu kurumun akademik öncelikleri ile yerel, bölgesel ve ulusal kalkınma hedefleriyle uyumlu, değer üretebilen ve toplumsal faydaya dönüştürülebilen araştırma ve geliştirme faaliyetlerini teşvik etmek amacıyla planlamalar yapmaktadır.</w:t>
      </w:r>
    </w:p>
    <w:p w14:paraId="2C34CC98">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C.1. Araştırma Süreçlerinin Yönetimi ve Araştırma Kaynakları</w:t>
      </w:r>
    </w:p>
    <w:p w14:paraId="23F7DA50">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Kurumumuzun araştırma faaliyetlerini stratejik planı çerçevesinde belirlenen yerel, bölgesel araştırmaları desteklemek amacıyla KSÜ Bilimsel Araştırma Projeleri Yönergesi gereği İlimizde Ar-Ge eksikliği nedeniyle yapılamayan ancak araştırılmasında fayda görülen konularda %30-50 oranında ilave destek verilen çalışmalar kapsamında isteyen araştırmacılara olanak sağlamaktadır. Ancak araştırma potansiyelini geliştirmek üzere proje, konferans katılımı, seyahat, uzman daveti destekleri, kişisel fonlar, motivasyonu arttırmak üzere ödül ve rekabetçi yükseltme uygulamaları yetersizdir ve bunların kurum içi kullanım tanınırlığı yetersizdir. </w:t>
      </w:r>
    </w:p>
    <w:p w14:paraId="767EFE8F">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Kurum tarafından bilimsel faaliyetler için yolluk ve kongre katılım ücretleri ödenmektedir. Ancak araştırma potansiyelini geliştirmek üzere proje, konferans katılımı, seyahat, uzman daveti destekleri, kişisel fonlar, motivasyonu arttırmak üzere ödül ve rekabetçi yükseltme kriterleri mevcut değildir. </w:t>
      </w:r>
    </w:p>
    <w:p w14:paraId="00F8A971">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Stratejik Plan, Performans Programı ve Bütçe Komisyonu kurumun akademik öncelikleri ile yerel, bölgesel ve ulusal kalkınma hedefleriyle uyumlu, değer üretebilen ve toplumsal faydaya dönüştürülebilen araştırma ve geliştirme faaliyetlerini teşvik etmek amacıyla planlamalar yapmaktadır.</w:t>
      </w:r>
    </w:p>
    <w:p w14:paraId="70DE8251">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C.1.1. Araştırma süreçlerinin yönetimi</w:t>
      </w:r>
    </w:p>
    <w:p w14:paraId="6E70891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E5E0B22">
      <w:pPr>
        <w:pStyle w:val="2"/>
        <w:spacing w:line="360" w:lineRule="auto"/>
        <w:rPr>
          <w:rFonts w:ascii="Times New Roman" w:hAnsi="Times New Roman" w:cs="Times New Roman"/>
          <w:sz w:val="24"/>
          <w:szCs w:val="24"/>
        </w:rPr>
      </w:pPr>
      <w:r>
        <w:rPr>
          <w:rFonts w:ascii="Times New Roman" w:hAnsi="Times New Roman" w:cs="Times New Roman"/>
          <w:b w:val="0"/>
          <w:bCs w:val="0"/>
          <w:color w:val="auto"/>
          <w:sz w:val="24"/>
          <w:szCs w:val="24"/>
        </w:rPr>
        <w:t xml:space="preserve">KSÜ Bilimsel Araştırma Projeleri Yönergesi gereği ve KSÜ Proje Geliştirme, Koordinasyon Uygulama ve Araştırma Merkezi isteyen akademisyenlere destek vermektedir </w:t>
      </w:r>
      <w:r>
        <w:fldChar w:fldCharType="begin"/>
      </w:r>
      <w:r>
        <w:instrText xml:space="preserve"> HYPERLINK "https://bap.ksu.edu.tr/Default.aspx?SId=26658" \h </w:instrText>
      </w:r>
      <w:r>
        <w:fldChar w:fldCharType="separate"/>
      </w:r>
      <w:r>
        <w:rPr>
          <w:rStyle w:val="20"/>
          <w:rFonts w:ascii="Times New Roman" w:hAnsi="Times New Roman" w:cs="Times New Roman"/>
          <w:color w:val="0070C0"/>
          <w:sz w:val="24"/>
          <w:szCs w:val="24"/>
        </w:rPr>
        <w:t>(OD3).</w:t>
      </w:r>
      <w:r>
        <w:rPr>
          <w:rStyle w:val="20"/>
          <w:rFonts w:ascii="Times New Roman" w:hAnsi="Times New Roman" w:cs="Times New Roman"/>
          <w:color w:val="0070C0"/>
          <w:sz w:val="24"/>
          <w:szCs w:val="24"/>
        </w:rPr>
        <w:fldChar w:fldCharType="end"/>
      </w:r>
    </w:p>
    <w:p w14:paraId="78DE0711">
      <w:pPr>
        <w:pStyle w:val="2"/>
        <w:spacing w:line="360" w:lineRule="auto"/>
        <w:rPr>
          <w:rFonts w:ascii="Times New Roman" w:hAnsi="Times New Roman" w:cs="Times New Roman"/>
          <w:sz w:val="24"/>
          <w:szCs w:val="24"/>
        </w:rPr>
      </w:pPr>
      <w:r>
        <w:rPr>
          <w:rFonts w:ascii="Times New Roman" w:hAnsi="Times New Roman" w:cs="Times New Roman"/>
          <w:b w:val="0"/>
          <w:bCs w:val="0"/>
          <w:color w:val="auto"/>
          <w:sz w:val="24"/>
          <w:szCs w:val="24"/>
        </w:rPr>
        <w:t xml:space="preserve">Bölüm olarak bireysel araştırmaların dışında organize olarak stratejik hedeflere yönelik ve üniversitenin öz görevi ile uyumlu çalışmalarda bulunulmaktadır </w:t>
      </w:r>
      <w:r>
        <w:fldChar w:fldCharType="begin"/>
      </w:r>
      <w:r>
        <w:instrText xml:space="preserve"> HYPERLINK "https://sbfhemsirelik.ksu.edu.tr/Default.aspx?SId=32659"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p>
    <w:p w14:paraId="40EABA87">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Fizyoterapi ve Rehabilitasyon</w:t>
      </w:r>
    </w:p>
    <w:p w14:paraId="43B58733">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Sağlık Bilimleri Fakültesi’nde araştırma süreçlerinin yönetimine ilişkin fakülte/bölüm düzeyinde sistematik motivasyon ve yönlendirme politikası henüz oluşturulmamıştır. Bu nedenle araştırma faaliyetleri büyük ölçüde öğretim elemanlarının bireysel araştırma gündemi ile üniversite düzeyindeki akademik teşvik süreçleri ve proje destek mekanizmaları üzerinden yürümektedir. Bu çerçevede öğretim elemanları akademik teşvik yönergesine uygun biçimde akademik teşvik komisyonuna başvuru yapmakta; ayrıca üniversite/fakülte imkânları dâhilinde yurt içi–yurt dışı bilimsel etkinlik katılım desteklerinden yararlanabilmektedir.</w:t>
      </w:r>
    </w:p>
    <w:p w14:paraId="261084CC">
      <w:pPr>
        <w:pStyle w:val="2"/>
        <w:spacing w:line="360" w:lineRule="auto"/>
        <w:rPr>
          <w:rFonts w:hint="default" w:ascii="Times New Roman" w:hAnsi="Times New Roman" w:cs="Times New Roman"/>
          <w:b w:val="0"/>
          <w:bCs w:val="0"/>
          <w:color w:val="auto"/>
          <w:sz w:val="24"/>
          <w:szCs w:val="24"/>
          <w:lang w:val="tr-TR"/>
        </w:rPr>
      </w:pPr>
      <w:r>
        <w:rPr>
          <w:rFonts w:ascii="Times New Roman" w:hAnsi="Times New Roman" w:cs="Times New Roman"/>
          <w:b w:val="0"/>
          <w:bCs w:val="0"/>
          <w:color w:val="auto"/>
          <w:sz w:val="24"/>
          <w:szCs w:val="24"/>
        </w:rPr>
        <w:t xml:space="preserve">2025 yılı içerisinde bölüm öğretim elemanları; Ar-Ge politikası ve stratejik plan çerçevesinde akademik öncelikleri ile uyumlu araştırma ve geliştirme faaliyetlerini sürdürmüş; özellikle deprem bölgesine yönelik TÜBİTAK 1001 projesinin 2025 döneminde devam etmesi/tamamlanması ile bilimsel çıktı üretimi </w:t>
      </w:r>
      <w:r>
        <w:rPr>
          <w:rFonts w:ascii="Times New Roman" w:hAnsi="Times New Roman" w:cs="Times New Roman"/>
          <w:b w:val="0"/>
          <w:bCs w:val="0"/>
          <w:color w:val="auto"/>
          <w:sz w:val="24"/>
          <w:szCs w:val="24"/>
        </w:rPr>
        <w:t xml:space="preserve">güçlenmiştir </w:t>
      </w:r>
      <w:r>
        <w:fldChar w:fldCharType="begin"/>
      </w:r>
      <w:r>
        <w:instrText xml:space="preserve"> HYPERLINK "https://drive.google.com/file/d/1EduxKvu3ap9lVuQmcpgVLaGzj9r5Zdud/view"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Bununla birlikte, C.1.1 kapsamında beklenen araştırma yönetimi ekibi/görev tanımları, kısa-uzun vadeli hedeflerin netleştirilmesi ve araştırma süreçlerinin işlerliğine ilişkin sonuçların izlenmesi unsurlarının bölüm/fakülte düzeyinde yazılı ve bütüncül bir model hâline getirilmesi gelişime açık alandır.Bununla birlikte 2025 yılında bölüm öğretim elemanları, bölümün Ar-Ge politikası ve stratejik öncelikleri doğrultusunda araştırma çıktısı üretmiş; bu çıktıların izlenmesi yıllık faaliyet raporu üzerinden görünür hâle getirilmiştir (yayınlar, bildiriler, kitap bölümleri ve atıflar). Bu yaklaşım, C.1.1’in “etkinliğin izlenmesi ve iyileştirilmesi” beklentisine ilerlemek için bir temel sağlar; ancak OD4 iddiası için “işlerlikle ilişkili sonuçların sistematik izlenmesi ve önlemler alınması” koşulunun kurumsal olarak işletilmesi gerekir.</w:t>
      </w:r>
    </w:p>
    <w:p w14:paraId="62C354B5">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Fizyoterapi ve Rehabilitasyon öğretim elemanları stratejik planı çerçevesinde belirlenen akademik öncelikleriyle uyumlu, değer üretebilen ve toplumsal faydaya dönüştürülebilen çeşitli araştırma ve geliştirme faaliyetleri yürütmektedir. Bunlar arasında:Dış fonlu proje yürütme deneyimi: Deprem bölgesine özel TÜBİTAK 1001 projesi (Proje No: 323S043) 2025 döneminde devam etmiş/tamamlanmıştır (bütçe: 592.511,00 TL). Yayın performansı (seçilmiş örnekler): Multiple Sclerosis and Related Disorders dergisinde SCI-E Q2 düzeyinde RCT yayınları ve 2025’te ek yayınlar raporlanmıştır.Bilimsel bildiri çıktıları: 2025 yılı içinde faaliyet raporunda en az 6 uluslararası bildiri yer almakta; bunların en az 3’ü sözlü bildiri olarak raporlanmıştır (örn. Parkinson/erken müdahale kongreleri). Kitap/kitap bölümü: 2025 yılında faaliyet raporunda 6 kitap/kitap bölümü katkısı listelenmiştir.Atıf görünürlüğü: Faaliyet raporunda 16 çalışmaya ilişkin atıf sayıları raporlanmış olup toplam 61 atıf görünmektedir.</w:t>
      </w:r>
    </w:p>
    <w:p w14:paraId="7A959258">
      <w:pPr>
        <w:pStyle w:val="2"/>
        <w:spacing w:line="360" w:lineRule="auto"/>
        <w:rPr>
          <w:rFonts w:hint="default" w:ascii="Times New Roman" w:hAnsi="Times New Roman" w:cs="Times New Roman"/>
          <w:b w:val="0"/>
          <w:bCs w:val="0"/>
          <w:color w:val="auto"/>
          <w:sz w:val="24"/>
          <w:szCs w:val="24"/>
          <w:lang w:val="tr-TR"/>
        </w:rPr>
      </w:pPr>
      <w:r>
        <w:rPr>
          <w:rFonts w:ascii="Times New Roman" w:hAnsi="Times New Roman" w:cs="Times New Roman"/>
          <w:b w:val="0"/>
          <w:bCs w:val="0"/>
          <w:color w:val="auto"/>
          <w:sz w:val="24"/>
          <w:szCs w:val="24"/>
        </w:rPr>
        <w:t>2025 İyileştirme adımları</w:t>
      </w:r>
    </w:p>
    <w:p w14:paraId="571C3E11">
      <w:pPr>
        <w:pStyle w:val="2"/>
        <w:numPr>
          <w:ilvl w:val="0"/>
          <w:numId w:val="16"/>
        </w:numPr>
        <w:tabs>
          <w:tab w:val="clear" w:pos="720"/>
        </w:tabs>
        <w:spacing w:line="360"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Bölüm düzeyinde “Araştırma Süreç Akışı” (fikir–etik–başvuru–bütçe–veri–yayın) ve sorumlular (Bölüm Başkanlığı/BAP iletişim sorumlusu vb.) tanımlanması.</w:t>
      </w:r>
    </w:p>
    <w:p w14:paraId="7185F501">
      <w:pPr>
        <w:pStyle w:val="2"/>
        <w:numPr>
          <w:ilvl w:val="0"/>
          <w:numId w:val="16"/>
        </w:numPr>
        <w:tabs>
          <w:tab w:val="clear" w:pos="720"/>
        </w:tabs>
        <w:spacing w:line="360"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2026 için ölçülebilir araştırma hedefleri belirlenecek (örn. dış fon başvuru sayısı, Q1–Q2 yayın hedefi, kongre çıktısı) ve yıl sonunda gerçekleşme değerlendirmesi yapılması.</w:t>
      </w:r>
    </w:p>
    <w:p w14:paraId="3B15179B">
      <w:pPr>
        <w:pStyle w:val="2"/>
        <w:numPr>
          <w:ilvl w:val="0"/>
          <w:numId w:val="16"/>
        </w:numPr>
        <w:tabs>
          <w:tab w:val="clear" w:pos="720"/>
        </w:tabs>
        <w:spacing w:line="360"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Akademik teşvik ve proje başvurularında öğretim elemanlarının geri bildirimleri alınarak süreçteki engeller için iyileştirme aksiyonları belirlenmesi.</w:t>
      </w:r>
    </w:p>
    <w:p w14:paraId="08029BDF">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69313D0E">
      <w:pPr>
        <w:pStyle w:val="2"/>
        <w:spacing w:before="200" w:line="360" w:lineRule="auto"/>
        <w:rPr>
          <w:rFonts w:ascii="Times New Roman" w:hAnsi="Times New Roman" w:cs="Times New Roman"/>
          <w:color w:val="000000"/>
          <w:sz w:val="24"/>
          <w:szCs w:val="24"/>
          <w:u w:val="single"/>
        </w:rPr>
      </w:pPr>
      <w:r>
        <w:rPr>
          <w:rFonts w:ascii="Times New Roman" w:hAnsi="Times New Roman" w:cs="Times New Roman"/>
          <w:b w:val="0"/>
          <w:bCs w:val="0"/>
          <w:color w:val="000000"/>
          <w:sz w:val="24"/>
          <w:szCs w:val="24"/>
        </w:rPr>
        <w:t>KSÜ Bilimsel Araştırma Projeleri Yönergesi gereği ve KSÜ Proje Geliştirme, Koordinasyon Uygulama ve Araştırma Merkezi isteyen akademisyenlere destek vermektedir</w:t>
      </w:r>
      <w:r>
        <w:fldChar w:fldCharType="begin"/>
      </w:r>
      <w:r>
        <w:instrText xml:space="preserve"> HYPERLINK "https://bap.ksu.edu.tr/Default.aspx?SId=26658"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"https://bap.ksu.edu.tr/Default.aspx?SId=26658"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bookmarkStart w:id="19" w:name="_iydost9pnobc" w:colFirst="0" w:colLast="0"/>
      <w:bookmarkEnd w:id="19"/>
      <w:r>
        <w:rPr>
          <w:rFonts w:hint="default" w:ascii="Times New Roman" w:hAnsi="Times New Roman" w:cs="Times New Roman"/>
          <w:color w:val="000000"/>
          <w:sz w:val="24"/>
          <w:szCs w:val="24"/>
          <w:u w:val="single"/>
          <w:lang w:val="tr-TR"/>
        </w:rPr>
        <w:t xml:space="preserve"> </w:t>
      </w:r>
      <w:r>
        <w:rPr>
          <w:rFonts w:ascii="Times New Roman" w:hAnsi="Times New Roman" w:cs="Times New Roman"/>
          <w:b w:val="0"/>
          <w:bCs w:val="0"/>
          <w:color w:val="000000"/>
          <w:sz w:val="24"/>
          <w:szCs w:val="24"/>
        </w:rPr>
        <w:t>Bölüm olarak bireysel araştırmaların dışında organize olarak stratejik hedeflere yönelik ve üniversitenin öz görevi ile uyumlu çalışmalarda bulunulmaktadır</w:t>
      </w:r>
      <w:r>
        <w:fldChar w:fldCharType="begin"/>
      </w:r>
      <w:r>
        <w:instrText xml:space="preserve"> HYPERLINK "https://sbfebelik.ksu.edu.tr/Default.aspx?SId=33500"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"https://sbfebelik.ksu.edu.tr/Default.aspx?SId=33500"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p>
    <w:p w14:paraId="2EE3A7BF">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C.1.2. İç ve dış kaynaklar</w:t>
      </w:r>
    </w:p>
    <w:p w14:paraId="500F003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E376F2F">
      <w:pPr>
        <w:pStyle w:val="2"/>
        <w:spacing w:before="4" w:after="160"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Üniversitemizde KSÜ Bilimsel Araştırma Projeleri koordinasyon birimi ve KSÜ Proje Geliştirme, Koordinasyon Uygulama ve Araştırma Merkezi bulunmakta ve gerekli destekleri vermektedir</w:t>
      </w:r>
      <w:r>
        <w:rPr>
          <w:rFonts w:hint="default" w:ascii="Times New Roman" w:hAnsi="Times New Roman" w:cs="Times New Roman"/>
          <w:b w:val="0"/>
          <w:bCs w:val="0"/>
          <w:color w:val="auto"/>
          <w:sz w:val="24"/>
          <w:szCs w:val="24"/>
          <w:lang w:val="tr-TR"/>
        </w:rPr>
        <w:t xml:space="preserve"> </w:t>
      </w:r>
      <w:r>
        <w:fldChar w:fldCharType="begin"/>
      </w:r>
      <w:r>
        <w:instrText xml:space="preserve"> HYPERLINK "https://bap.ksu.edu.tr/Default.aspx?SId=26658" \h </w:instrText>
      </w:r>
      <w:r>
        <w:fldChar w:fldCharType="separate"/>
      </w:r>
      <w:r>
        <w:rPr>
          <w:rStyle w:val="20"/>
          <w:rFonts w:ascii="Times New Roman" w:hAnsi="Times New Roman" w:cs="Times New Roman"/>
          <w:color w:val="0000FF"/>
          <w:sz w:val="24"/>
          <w:szCs w:val="24"/>
        </w:rPr>
        <w:t>(</w:t>
      </w:r>
      <w:r>
        <w:rPr>
          <w:rStyle w:val="20"/>
          <w:rFonts w:ascii="Times New Roman" w:hAnsi="Times New Roman" w:cs="Times New Roman"/>
          <w:b w:val="0"/>
          <w:bCs w:val="0"/>
          <w:color w:val="0000FF"/>
          <w:sz w:val="24"/>
          <w:szCs w:val="24"/>
        </w:rPr>
        <w:t>OD3</w:t>
      </w:r>
      <w:r>
        <w:rPr>
          <w:rStyle w:val="20"/>
          <w:rFonts w:ascii="Times New Roman" w:hAnsi="Times New Roman" w:cs="Times New Roman"/>
          <w:color w:val="0000FF"/>
          <w:sz w:val="24"/>
          <w:szCs w:val="24"/>
        </w:rPr>
        <w:t>).</w:t>
      </w:r>
      <w:r>
        <w:rPr>
          <w:rStyle w:val="20"/>
          <w:rFonts w:ascii="Times New Roman" w:hAnsi="Times New Roman" w:cs="Times New Roman"/>
          <w:color w:val="0000FF"/>
          <w:sz w:val="24"/>
          <w:szCs w:val="24"/>
        </w:rPr>
        <w:fldChar w:fldCharType="end"/>
      </w:r>
      <w:r>
        <w:rPr>
          <w:rStyle w:val="20"/>
          <w:rFonts w:ascii="Times New Roman" w:hAnsi="Times New Roman" w:cs="Times New Roman"/>
          <w:color w:val="0000FF"/>
          <w:sz w:val="24"/>
          <w:szCs w:val="24"/>
        </w:rPr>
        <w:t xml:space="preserve"> </w:t>
      </w:r>
      <w:r>
        <w:rPr>
          <w:rStyle w:val="20"/>
          <w:rFonts w:ascii="Times New Roman" w:hAnsi="Times New Roman" w:cs="Times New Roman"/>
          <w:b w:val="0"/>
          <w:bCs w:val="0"/>
          <w:color w:val="auto"/>
          <w:sz w:val="24"/>
          <w:szCs w:val="24"/>
          <w:u w:val="none"/>
        </w:rPr>
        <w:t>Hemşirelik Bölümünde öğretim elemanlarına ait devam eden birim içi destekli proje sayısı 4, tamamlanan birim içi destekli proje sayısı 5, devam eden birim dışı destekli projelerin sayısı 12 ve tamamlanan birim dışı destekli projelerin sayısı 4’tür (</w:t>
      </w:r>
      <w:r>
        <w:fldChar w:fldCharType="begin"/>
      </w:r>
      <w:r>
        <w:instrText xml:space="preserve"> HYPERLINK "https://drive.google.com/file/d/1zmrGDWrWfL38eVlQT3aElK6JB_TVO_iq/view" \h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Style w:val="20"/>
          <w:rFonts w:hint="default" w:ascii="Times New Roman" w:hAnsi="Times New Roman" w:cs="Times New Roman"/>
          <w:sz w:val="24"/>
          <w:szCs w:val="24"/>
          <w:lang w:val="tr-TR"/>
        </w:rPr>
        <w:t xml:space="preserve"> </w:t>
      </w:r>
      <w:r>
        <w:rPr>
          <w:rFonts w:ascii="Times New Roman" w:hAnsi="Times New Roman" w:cs="Times New Roman"/>
          <w:b w:val="0"/>
          <w:bCs w:val="0"/>
          <w:color w:val="auto"/>
          <w:sz w:val="24"/>
          <w:szCs w:val="24"/>
        </w:rPr>
        <w:t xml:space="preserve">Kurum tarafından bilimsel faaliyetler için yolluk ve kongre katılım ücretleri ödenmektedir. Hemşirelik Bölümü öğretim elemanları 2025 yılı içerisinde toplam 61 bilimsel etkinliğe katılmıştır. Öğretim elemanları bu etkinliklerin 6 tanesinde SBF’den yolluk/gündelik/katılım ücreti desteği 3 tanesi ise KSÜ BAP’tan yolluk/katılım ücreti desteği almıştır. Buna ek olarak öğretim elemanları aynı yıl içerisinde araştırma ve geliştirme yetkinliği için çeşitli eğitimlere katılmıştır. Öğretim elemanlarının bilimsel etkinliklere ve eğitimlere katılımları akademik izin verilerek desteklenmektedir  </w:t>
      </w:r>
      <w:r>
        <w:fldChar w:fldCharType="begin"/>
      </w:r>
      <w:r>
        <w:instrText xml:space="preserve"> HYPERLINK "https://euc-word-edit.officeapps.live.com/we/HEM%C5%9E%C4%B0REL%C4%B0K2025YILIFAAL%C4%B0YETRAPORU.pdf" \h </w:instrText>
      </w:r>
      <w:r>
        <w:fldChar w:fldCharType="separate"/>
      </w:r>
      <w:r>
        <w:rPr>
          <w:rStyle w:val="20"/>
          <w:rFonts w:ascii="Times New Roman" w:hAnsi="Times New Roman" w:cs="Times New Roman"/>
          <w:color w:val="0000FF"/>
          <w:sz w:val="24"/>
          <w:szCs w:val="24"/>
        </w:rPr>
        <w:t xml:space="preserve">[2_OD3] </w:t>
      </w:r>
      <w:r>
        <w:rPr>
          <w:rStyle w:val="20"/>
          <w:rFonts w:ascii="Times New Roman" w:hAnsi="Times New Roman" w:cs="Times New Roman"/>
          <w:color w:val="0000FF"/>
          <w:sz w:val="24"/>
          <w:szCs w:val="24"/>
        </w:rPr>
        <w:fldChar w:fldCharType="end"/>
      </w:r>
      <w:r>
        <w:fldChar w:fldCharType="begin"/>
      </w:r>
      <w:r>
        <w:instrText xml:space="preserve"> HYPERLINK "https://versis.ksu.edu.tr/login.aspx"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r>
        <w:rPr>
          <w:rFonts w:ascii="Times New Roman" w:hAnsi="Times New Roman" w:cs="Times New Roman"/>
          <w:b w:val="0"/>
          <w:bCs w:val="0"/>
          <w:color w:val="auto"/>
          <w:sz w:val="24"/>
          <w:szCs w:val="24"/>
        </w:rPr>
        <w:t xml:space="preserve"> </w:t>
      </w:r>
    </w:p>
    <w:p w14:paraId="5FB146AC">
      <w:pPr>
        <w:pStyle w:val="2"/>
        <w:spacing w:before="4" w:after="160" w:line="360" w:lineRule="auto"/>
        <w:rPr>
          <w:rFonts w:ascii="Times New Roman" w:hAnsi="Times New Roman" w:cs="Times New Roman"/>
          <w:color w:val="0070C0"/>
          <w:sz w:val="24"/>
          <w:szCs w:val="24"/>
        </w:rPr>
      </w:pPr>
      <w:r>
        <w:rPr>
          <w:rFonts w:ascii="Times New Roman" w:hAnsi="Times New Roman" w:cs="Times New Roman"/>
          <w:b w:val="0"/>
          <w:bCs w:val="0"/>
          <w:color w:val="auto"/>
          <w:sz w:val="24"/>
          <w:szCs w:val="24"/>
        </w:rPr>
        <w:t>Kurumun fiziki, teknik ve mali araştırma kaynakları misyon, hedef ve stratejileriyle uyumlu olup Stratejik Plan, Performans Programı ve Bütçe Komisyonu   tarafından toplanarak hedefler belirlemektedir</w:t>
      </w:r>
      <w:r>
        <w:fldChar w:fldCharType="begin"/>
      </w:r>
      <w:r>
        <w:instrText xml:space="preserve"> HYPERLINK "https://sbfhemsirelik.ksu.edu.tr/Default.aspx?SId=32659"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r>
        <w:rPr>
          <w:rFonts w:ascii="Times New Roman" w:hAnsi="Times New Roman" w:cs="Times New Roman"/>
          <w:color w:val="0070C0"/>
          <w:sz w:val="24"/>
          <w:szCs w:val="24"/>
        </w:rPr>
        <w:t xml:space="preserve"> </w:t>
      </w:r>
      <w:r>
        <w:fldChar w:fldCharType="begin"/>
      </w:r>
      <w:r>
        <w:instrText xml:space="preserve"> HYPERLINK "https://sbfhemsirelik.ksu.edu.tr/Default.aspx?SId=32648"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r>
        <w:rPr>
          <w:rFonts w:ascii="Times New Roman" w:hAnsi="Times New Roman" w:cs="Times New Roman"/>
          <w:color w:val="0070C0"/>
          <w:sz w:val="24"/>
          <w:szCs w:val="24"/>
        </w:rPr>
        <w:t>.</w:t>
      </w:r>
    </w:p>
    <w:p w14:paraId="6A87CFF6">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4BB3C74A">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Bölümün araştırma faaliyetlerinde kullandığı iç kaynaklar üniversite Bilimsel Araştırma Projeleri (BAP) koordinasyon birimi ve ilgili yönergeler çerçevesinde; dış kaynaklar ise TÜBİTAK başta olmak üzere kurum dışı fonlar üzerinden yürütülmektedir. 2025 yılında deprem bölgesine yönelik TÜBİTAK 1001 projesi kapsamında çalışmaların sürdürülmesi/tamamlanması, bölümün dış kaynaklı araştırma kapasitesine somut katkı sağlamıştır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"https://drive.google.com/file/d/1EduxKvu3ap9lVuQmcpgVLaGzj9r5Zdud/view"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Bunun yanında bilimsel etkinlik katılım destekleri bulunmakla birlikte, rektörlük tarafından bütçe kısıtları kapsamında bazı desteklerin (örn. yalnızca sözlü sunum/konuşmacı odaklı) sınırlandığı görülmektedir; bu durum özellikle uluslararası görünürlük ve hareketlilikte kaynak planlamasını kritik hâle getirmektedir.</w:t>
      </w:r>
    </w:p>
    <w:p w14:paraId="774200FB">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5CB1E923">
      <w:pPr>
        <w:pStyle w:val="2"/>
        <w:spacing w:before="0" w:after="240" w:line="360" w:lineRule="auto"/>
        <w:ind w:right="6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Üniversitemizde KSÜ Bilimsel Araştırma Projeleri koordinasyon birimi ve KSÜ Proje Geliştirme, Koordinasyon Uygulama ve Araştırma Merkezi bulunmakta ve gerekli destekleri vermektedir </w:t>
      </w:r>
      <w:r>
        <w:fldChar w:fldCharType="begin"/>
      </w:r>
      <w:r>
        <w:instrText xml:space="preserve"> HYPERLINK "https://bap.ksu.edu.tr/Default.aspx?SId=26658"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 xml:space="preserve"> </w:t>
      </w:r>
      <w:r>
        <w:rPr>
          <w:rFonts w:ascii="Times New Roman" w:hAnsi="Times New Roman" w:cs="Times New Roman"/>
          <w:b w:val="0"/>
          <w:bCs w:val="0"/>
          <w:color w:val="000000"/>
          <w:sz w:val="24"/>
          <w:szCs w:val="24"/>
        </w:rPr>
        <w:t>Ebelik Bölümünde öğretim elemanlarına ait devam eden birim içi destekli proje sayısı 1, tamamlanan birim içi destekli proje sayısı 1, devam eden birim dışı destekli projelerin sayısı 2 ve tamamlanan birim dışı destekli projelerin sayısı 1’dir (</w:t>
      </w:r>
      <w:r>
        <w:fldChar w:fldCharType="begin"/>
      </w:r>
      <w:r>
        <w:instrText xml:space="preserve"> HYPERLINK "https://sbfebelik.ksu.edu.tr/Default.aspx?SId=33501"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p>
    <w:p w14:paraId="3049D42F">
      <w:pPr>
        <w:pStyle w:val="2"/>
        <w:spacing w:before="0" w:after="160" w:line="360" w:lineRule="auto"/>
        <w:ind w:right="60"/>
        <w:rPr>
          <w:rFonts w:ascii="Times New Roman" w:hAnsi="Times New Roman" w:cs="Times New Roman"/>
          <w:color w:val="000000"/>
          <w:sz w:val="24"/>
          <w:szCs w:val="24"/>
          <w:u w:val="single"/>
        </w:rPr>
      </w:pPr>
      <w:bookmarkStart w:id="20" w:name="_ufvqr7gnntxu" w:colFirst="0" w:colLast="0"/>
      <w:bookmarkEnd w:id="20"/>
      <w:r>
        <w:rPr>
          <w:rFonts w:ascii="Times New Roman" w:hAnsi="Times New Roman" w:cs="Times New Roman"/>
          <w:b w:val="0"/>
          <w:bCs w:val="0"/>
          <w:color w:val="000000"/>
          <w:sz w:val="24"/>
          <w:szCs w:val="24"/>
        </w:rPr>
        <w:t xml:space="preserve">Kurum tarafından bilimsel faaliyetler için yolluk ve kongre katılım ücretleri ödenmektedir. Ebelik Bölümü öğretim elemanları 2025 yılı içerisinde toplam 20 bilimsel etkinliğe katılmıştır. Öğretim elemanları bu etkinliklerin 2 tanesinde SBF’den yolluk/gündelik/katılım ücreti desteği 2 tanesi ise KSÜ BAP’tan yolluk/katılım ücreti desteği almıştır. Buna ek olarak öğretim elemanları aynı yıl içerisinde araştırma ve geliştirme yetkinliği için çeşitli eğitimlere katılmıştır. Öğretim elemanlarının bilimsel etkinliklere ve eğitimlere katılımları akademik izin verilerek desteklenmektedir </w:t>
      </w:r>
      <w:r>
        <w:fldChar w:fldCharType="begin"/>
      </w:r>
      <w:r>
        <w:instrText xml:space="preserve"> HYPERLINK "https://versis.ksu.edu.tr/login.aspx"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"https://versis.ksu.edu.tr/login.aspx"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p>
    <w:p w14:paraId="1B5DDB34">
      <w:pPr>
        <w:pStyle w:val="2"/>
        <w:spacing w:before="0" w:after="160" w:line="360" w:lineRule="auto"/>
        <w:ind w:right="60"/>
        <w:rPr>
          <w:rFonts w:ascii="Times New Roman" w:hAnsi="Times New Roman" w:cs="Times New Roman"/>
          <w:color w:val="000000"/>
          <w:sz w:val="24"/>
          <w:szCs w:val="24"/>
        </w:rPr>
      </w:pPr>
      <w:bookmarkStart w:id="21" w:name="_y5l3dgfo40q3" w:colFirst="0" w:colLast="0"/>
      <w:bookmarkEnd w:id="21"/>
      <w:r>
        <w:rPr>
          <w:rFonts w:ascii="Times New Roman" w:hAnsi="Times New Roman" w:cs="Times New Roman"/>
          <w:b w:val="0"/>
          <w:bCs w:val="0"/>
          <w:color w:val="000000"/>
          <w:sz w:val="24"/>
          <w:szCs w:val="24"/>
        </w:rPr>
        <w:t>Kurumun fiziki, teknik ve mali araştırma kaynakları misyon, hedef ve stratejileriyle uyumlu olup Stratejik Plan, Performans Programı ve Bütçe Komisyonu tarafından toplanarak hedefler belirlemektedir</w:t>
      </w:r>
      <w:r>
        <w:fldChar w:fldCharType="begin"/>
      </w:r>
      <w:r>
        <w:instrText xml:space="preserve"> HYPERLINK "https://sbfebelik.ksu.edu.tr/Default.aspx?SId=33500"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p>
    <w:p w14:paraId="2F4DA065">
      <w:pPr>
        <w:pStyle w:val="2"/>
        <w:spacing w:line="360" w:lineRule="auto"/>
        <w:rPr>
          <w:rFonts w:ascii="Times New Roman" w:hAnsi="Times New Roman" w:cs="Times New Roman"/>
          <w:color w:val="auto"/>
          <w:sz w:val="24"/>
          <w:szCs w:val="24"/>
        </w:rPr>
      </w:pPr>
    </w:p>
    <w:p w14:paraId="0031B9F9">
      <w:pPr>
        <w:pStyle w:val="2"/>
        <w:spacing w:before="4" w:after="160" w:line="257" w:lineRule="auto"/>
        <w:rPr>
          <w:rFonts w:ascii="Times New Roman" w:hAnsi="Times New Roman" w:cs="Times New Roman"/>
          <w:color w:val="auto"/>
          <w:sz w:val="24"/>
          <w:szCs w:val="24"/>
        </w:rPr>
      </w:pPr>
      <w:r>
        <w:rPr>
          <w:rFonts w:ascii="Times New Roman" w:hAnsi="Times New Roman" w:cs="Times New Roman"/>
          <w:color w:val="auto"/>
          <w:sz w:val="24"/>
          <w:szCs w:val="24"/>
        </w:rPr>
        <w:t>C.1.3. Doktora programları ve doktora sonrası imkanlar</w:t>
      </w:r>
    </w:p>
    <w:p w14:paraId="19C4340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4A1C135A">
      <w:pPr>
        <w:pStyle w:val="2"/>
        <w:spacing w:before="4" w:after="160"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Birimimizde doktora ve post-doc imkânları bulunmamaktadır. </w:t>
      </w:r>
    </w:p>
    <w:p w14:paraId="321F3AC3">
      <w:pPr>
        <w:pStyle w:val="2"/>
        <w:spacing w:before="4" w:after="160"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Öğretim üyesi kadrosunun nicel ve nitel olarak artırılması ve doktora programlarının açılmasına yönelik altyapının oluşturulması gerekmektedir.</w:t>
      </w:r>
    </w:p>
    <w:p w14:paraId="170C6AE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E37C366">
      <w:pPr>
        <w:pStyle w:val="2"/>
        <w:spacing w:before="4" w:after="160"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Birimimizde doktora ve post-doc imkânları bulunmamaktadır. </w:t>
      </w:r>
    </w:p>
    <w:p w14:paraId="526EC80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1C0F0D96">
      <w:pPr>
        <w:pStyle w:val="2"/>
        <w:spacing w:before="0" w:after="160" w:line="360" w:lineRule="auto"/>
        <w:ind w:right="6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Birimimizde doktora ve post-doc imkânları bulunmamaktadır, ancak 1 öğretim üyemiz post-doc araştırması yapmak üzere University of Leeds’e gitmiştir.</w:t>
      </w:r>
      <w:r>
        <w:fldChar w:fldCharType="begin"/>
      </w:r>
      <w:r>
        <w:instrText xml:space="preserve"> HYPERLINK "https://sbfebelik.ksu.edu.tr/Default.aspx?DId=96906"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"https://sbfebelik.ksu.edu.tr/Default.aspx?DId=96906"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b w:val="0"/>
          <w:bCs w:val="0"/>
          <w:color w:val="000000"/>
          <w:sz w:val="24"/>
          <w:szCs w:val="24"/>
        </w:rPr>
        <w:t xml:space="preserve"> Öğretim üyesi kadrosunun nicel ve nitel olarak artırılması ve doktora programlarının açılmasına yönelik altyapının oluşturulması gerekmektedir.</w:t>
      </w:r>
    </w:p>
    <w:p w14:paraId="44889D31">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C.2. Araştırma Yetkinliği, İş birlikleri ve Destekler</w:t>
      </w:r>
    </w:p>
    <w:p w14:paraId="09E942F8">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C.2.1. Araştırma yetkinlikleri ve gelişimi</w:t>
      </w:r>
    </w:p>
    <w:p w14:paraId="723246AA">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D111B74">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Kurumumuzda bilimsel araştırmalar için farklı üniversitelerden akademik personelle işbirlikleri bireysel olarak yapılmaktadır.</w:t>
      </w:r>
    </w:p>
    <w:p w14:paraId="4457334B">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Hemşirelik Bölümünde akademik personeller araştırma ve geliştirme yetkinlikleri için desteklenmekte ve teşvik edilmektedir. Web sayfasında kongrelerde sunulan bildiriler, ödül alan, Q1 dergilerde yayın yapan öğretim elemanları ve yayınları ilan edilmektedir. (</w:t>
      </w:r>
      <w:r>
        <w:fldChar w:fldCharType="begin"/>
      </w:r>
      <w:r>
        <w:instrText xml:space="preserve"> HYPERLINK "https://sbfhemsirelik.ksu.edu.tr/default.aspx?DId=101727"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Ayrıca hemşirelik alanını ilgilendiren kongre/sempozyum/çalıştay gibi etkinlikler bölüm sayfasında “Mesleki Duyurular” başlığı altında duyurulmaktadır (</w:t>
      </w:r>
      <w:r>
        <w:fldChar w:fldCharType="begin"/>
      </w:r>
      <w:r>
        <w:instrText xml:space="preserve"> HYPERLINK "https://sbfhemsirelik.ksu.edu.tr/"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r>
        <w:rPr>
          <w:rFonts w:ascii="Times New Roman" w:hAnsi="Times New Roman" w:cs="Times New Roman"/>
          <w:color w:val="4472C4" w:themeColor="accent1"/>
          <w:sz w:val="24"/>
          <w:szCs w:val="24"/>
          <w14:textFill>
            <w14:solidFill>
              <w14:schemeClr w14:val="accent1"/>
            </w14:solidFill>
          </w14:textFill>
        </w:rPr>
        <w:t xml:space="preserve"> </w:t>
      </w:r>
      <w:r>
        <w:rPr>
          <w:rFonts w:ascii="Times New Roman" w:hAnsi="Times New Roman" w:cs="Times New Roman"/>
          <w:b w:val="0"/>
          <w:bCs w:val="0"/>
          <w:color w:val="auto"/>
          <w:sz w:val="24"/>
          <w:szCs w:val="24"/>
        </w:rPr>
        <w:t>Öğretim elemanlarının bilimsel etkinliklere ve eğitimlere katılımları akademik izin verilerek desteklenmektedir. Ayrıca öğretim elemanlarının kurum kütüphanesi kaynak ve veritabanları ile araştırma olanakları sağlanmaktadır (</w:t>
      </w:r>
      <w:r>
        <w:fldChar w:fldCharType="begin"/>
      </w:r>
      <w:r>
        <w:instrText xml:space="preserve"> HYPERLINK "https://kutuphane.ksu.edu.tr/"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7372FE7F">
      <w:pPr>
        <w:pStyle w:val="2"/>
        <w:spacing w:before="240" w:after="240" w:line="360" w:lineRule="auto"/>
        <w:rPr>
          <w:rFonts w:ascii="Times New Roman" w:hAnsi="Times New Roman" w:cs="Times New Roman"/>
          <w:sz w:val="24"/>
          <w:szCs w:val="24"/>
        </w:rPr>
      </w:pPr>
      <w:r>
        <w:rPr>
          <w:rFonts w:ascii="Times New Roman" w:hAnsi="Times New Roman" w:cs="Times New Roman"/>
          <w:b w:val="0"/>
          <w:bCs w:val="0"/>
          <w:color w:val="auto"/>
          <w:sz w:val="24"/>
          <w:szCs w:val="24"/>
        </w:rPr>
        <w:t>Hemşirelik Bölümü öğretim elemanları 2025 yılı içerisinde toplam 61 bilimsel etkinliğe katılmıştır. Öğretim elemanları bu etkinliklerin 6 tanesinde SBF’den yolluk/gündelik/katılım ücreti desteği 3 tanesi ise KSÜ BAP’tan yolluk/katılım ücreti desteği almıştır. Buna ek olarak öğretim elemanları aynı yıl içerisinde araştırma ve geliştirme yetkinliği için çeşitli eğitimlere katılmıştır. Öğretim elemanlarının bilimsel etkinliklere ve eğitimlere katılımları akademik izin verilerek desteklenmektedir. Ayrıca öğretim elemanlarının kurum kütüphanesi kaynak ve veritabanları ile araştırma olanakları sağlanmaktadır.</w:t>
      </w:r>
      <w:r>
        <w:fldChar w:fldCharType="begin"/>
      </w:r>
      <w:r>
        <w:instrText xml:space="preserve"> HYPERLINK "https://kutuphane.ksu.edu.tr/" \h </w:instrText>
      </w:r>
      <w:r>
        <w:fldChar w:fldCharType="separate"/>
      </w:r>
      <w:r>
        <w:rPr>
          <w:rStyle w:val="20"/>
          <w:rFonts w:ascii="Times New Roman" w:hAnsi="Times New Roman" w:cs="Times New Roman"/>
          <w:b w:val="0"/>
          <w:bCs w:val="0"/>
          <w:color w:val="0000FF"/>
          <w:sz w:val="24"/>
          <w:szCs w:val="24"/>
        </w:rPr>
        <w:t>(OD3)</w:t>
      </w:r>
      <w:r>
        <w:rPr>
          <w:rStyle w:val="20"/>
          <w:rFonts w:ascii="Times New Roman" w:hAnsi="Times New Roman" w:cs="Times New Roman"/>
          <w:b w:val="0"/>
          <w:bCs w:val="0"/>
          <w:color w:val="0000FF"/>
          <w:sz w:val="24"/>
          <w:szCs w:val="24"/>
        </w:rPr>
        <w:fldChar w:fldCharType="end"/>
      </w:r>
    </w:p>
    <w:p w14:paraId="0DCDE185">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30D3442F">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Bölüm akademik kadrosu; bir doçent, dört Dr. öğretim üyesi ve doktora eğitimini tamamlamış/ sürdüren araştırma görevlisi ile araştırma yetkinliğini sürdürmektedir </w:t>
      </w:r>
      <w:r>
        <w:fldChar w:fldCharType="begin"/>
      </w:r>
      <w:r>
        <w:instrText xml:space="preserve"> HYPERLINK "https://drive.google.com/file/d/12jrcFzf9Tc2483t1Z2CSLZuycH-VJIq5/view" </w:instrText>
      </w:r>
      <w:r>
        <w:fldChar w:fldCharType="separate"/>
      </w:r>
      <w:r>
        <w:rPr>
          <w:rStyle w:val="20"/>
          <w:rFonts w:ascii="Times New Roman" w:hAnsi="Times New Roman" w:cs="Times New Roman"/>
          <w:b w:val="0"/>
          <w:bCs w:val="0"/>
          <w:sz w:val="24"/>
          <w:szCs w:val="24"/>
        </w:rPr>
        <w:t>[OD3][OD3]</w:t>
      </w:r>
      <w:r>
        <w:rPr>
          <w:rStyle w:val="20"/>
          <w:rFonts w:ascii="Times New Roman" w:hAnsi="Times New Roman" w:cs="Times New Roman"/>
          <w:b w:val="0"/>
          <w:bCs w:val="0"/>
          <w:sz w:val="24"/>
          <w:szCs w:val="24"/>
        </w:rPr>
        <w:fldChar w:fldCharType="end"/>
      </w:r>
      <w:r>
        <w:rPr>
          <w:rFonts w:ascii="Times New Roman" w:hAnsi="Times New Roman" w:cs="Times New Roman"/>
          <w:sz w:val="24"/>
          <w:szCs w:val="24"/>
        </w:rPr>
        <w:t xml:space="preserve">. </w:t>
      </w:r>
      <w:r>
        <w:rPr>
          <w:rFonts w:ascii="Times New Roman" w:hAnsi="Times New Roman" w:cs="Times New Roman"/>
          <w:b w:val="0"/>
          <w:bCs w:val="0"/>
          <w:color w:val="auto"/>
          <w:sz w:val="24"/>
          <w:szCs w:val="24"/>
        </w:rPr>
        <w:t>2025 yılı itibarıyla bilimsel yayınlar, ulusal-uluslararası bildiriler ve kitap/kitap bölümü çıktıları üretilmiştir. Öğretim elemanlarının araştırma yetkinliğini geliştirmek üzere üniversite düzeyinde BAP destekleri ve Ar-Ge proje pazarları gibi mekanizmalar bulunmaktadır; bölümün 2025 döneminde bu imkânları araştırma hedefleri ile ilişkilendirerek kullanması önceliklidir.</w:t>
      </w:r>
    </w:p>
    <w:p w14:paraId="2E51653D">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253E917D">
      <w:pPr>
        <w:pStyle w:val="2"/>
        <w:spacing w:before="200"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Kurumumuzda bilimsel araştırmalar için farklı üniversitelerden akademik personelle işbirlikleri bireysel olarak yapılmaktadır.</w:t>
      </w:r>
    </w:p>
    <w:p w14:paraId="6C60380E">
      <w:pPr>
        <w:pStyle w:val="2"/>
        <w:spacing w:before="200" w:line="360" w:lineRule="auto"/>
        <w:rPr>
          <w:rFonts w:ascii="Times New Roman" w:hAnsi="Times New Roman" w:cs="Times New Roman"/>
          <w:b w:val="0"/>
          <w:bCs w:val="0"/>
          <w:color w:val="000000"/>
          <w:sz w:val="24"/>
          <w:szCs w:val="24"/>
        </w:rPr>
      </w:pPr>
      <w:bookmarkStart w:id="22" w:name="_wup6lr5xeoa" w:colFirst="0" w:colLast="0"/>
      <w:bookmarkEnd w:id="22"/>
      <w:r>
        <w:rPr>
          <w:rFonts w:ascii="Times New Roman" w:hAnsi="Times New Roman" w:cs="Times New Roman"/>
          <w:b w:val="0"/>
          <w:bCs w:val="0"/>
          <w:color w:val="000000"/>
          <w:sz w:val="24"/>
          <w:szCs w:val="24"/>
        </w:rPr>
        <w:t xml:space="preserve">Ebelik Bölümünde akademik personeller araştırma ve geliştirme yetkinlikleri için desteklenmekte ve teşvik edilmektedir. Web sayfasında kongrelerde sunulan bildiriler, ödül alan, Q1 dergilerde yayın yapan öğretim elemanları ve yayınları ilan edilmektedir </w:t>
      </w:r>
      <w:r>
        <w:rPr>
          <w:rFonts w:ascii="Times New Roman" w:hAnsi="Times New Roman" w:cs="Times New Roman"/>
          <w:color w:val="000000"/>
          <w:sz w:val="24"/>
          <w:szCs w:val="24"/>
        </w:rPr>
        <w:t>(</w:t>
      </w:r>
      <w:r>
        <w:fldChar w:fldCharType="begin"/>
      </w:r>
      <w:r>
        <w:instrText xml:space="preserve"> HYPERLINK "https://sbfebelik.ksu.edu.tr/Default.aspx?DId=101351"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 xml:space="preserve">. Ayrıca ebelik alanını ilgilendiren kongre/sempozyum/çalıştay gibi etkinlikler bölüm sayfasında “Mesleki Duyurular” başlığı altında duyurulmaktadır </w:t>
      </w:r>
      <w:r>
        <w:rPr>
          <w:rFonts w:ascii="Times New Roman" w:hAnsi="Times New Roman" w:cs="Times New Roman"/>
          <w:color w:val="000000"/>
          <w:sz w:val="24"/>
          <w:szCs w:val="24"/>
        </w:rPr>
        <w:t>(</w:t>
      </w:r>
      <w:r>
        <w:fldChar w:fldCharType="begin"/>
      </w:r>
      <w:r>
        <w:instrText xml:space="preserve"> HYPERLINK "https://sbfebelik.ksu.edu.tr/Default.aspx?SId=7791"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b w:val="0"/>
          <w:bCs w:val="0"/>
          <w:color w:val="000000"/>
          <w:sz w:val="24"/>
          <w:szCs w:val="24"/>
        </w:rPr>
        <w:t xml:space="preserve">Öğretim elemanlarının bilimsel etkinliklere ve eğitimlere katılımları akademik izin verilerek desteklenmektedir. Ayrıca öğretim elemanlarının kurum kütüphanesi kaynak ve veritabanları ile araştırma olanakları sağlanmaktadır </w:t>
      </w:r>
      <w:r>
        <w:rPr>
          <w:rFonts w:ascii="Times New Roman" w:hAnsi="Times New Roman" w:cs="Times New Roman"/>
          <w:color w:val="000000"/>
          <w:sz w:val="24"/>
          <w:szCs w:val="24"/>
        </w:rPr>
        <w:t>(</w:t>
      </w:r>
      <w:r>
        <w:fldChar w:fldCharType="begin"/>
      </w:r>
      <w:r>
        <w:instrText xml:space="preserve"> HYPERLINK "https://kutuphane.ksu.edu.tr/"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w:t>
      </w:r>
    </w:p>
    <w:p w14:paraId="42537483">
      <w:pPr>
        <w:pStyle w:val="2"/>
        <w:spacing w:before="200" w:line="360" w:lineRule="auto"/>
        <w:rPr>
          <w:rFonts w:ascii="Times New Roman" w:hAnsi="Times New Roman" w:cs="Times New Roman"/>
          <w:b w:val="0"/>
          <w:bCs w:val="0"/>
          <w:color w:val="000000"/>
          <w:sz w:val="24"/>
          <w:szCs w:val="24"/>
          <w:u w:val="single"/>
        </w:rPr>
      </w:pPr>
      <w:bookmarkStart w:id="23" w:name="_ma5rw588p71i" w:colFirst="0" w:colLast="0"/>
      <w:bookmarkEnd w:id="23"/>
      <w:r>
        <w:rPr>
          <w:rFonts w:ascii="Times New Roman" w:hAnsi="Times New Roman" w:cs="Times New Roman"/>
          <w:b w:val="0"/>
          <w:bCs w:val="0"/>
          <w:color w:val="000000"/>
          <w:sz w:val="24"/>
          <w:szCs w:val="24"/>
        </w:rPr>
        <w:t xml:space="preserve">Ebelik Bölümü öğretim elemanları 2025 yılı içerisinde toplam 20 bilimsel etkinliğe katılmıştır. Öğretim elemanları bu etkinliklerin 2 tanesinde SBF’den yolluk/gündelik/katılım ücreti desteği 2 tanesi ise KSÜ BAP’tan yolluk/katılım ücreti desteği almıştır. Buna ek olarak öğretim elemanları aynı yıl içerisinde araştırma ve geliştirme yetkinliği için çeşitli eğitimlere katılmıştır. Öğretim elemanlarının bilimsel etkinliklere ve eğitimlere katılımları akademik izin verilerek desteklenmektedir. Ayrıca öğretim elemanlarının kurum kütüphanesi kaynak ve veritabanları ile araştırma olanakları sağlanmaktadır </w:t>
      </w:r>
      <w:r>
        <w:fldChar w:fldCharType="begin"/>
      </w:r>
      <w:r>
        <w:instrText xml:space="preserve"> HYPERLINK "https://kutuphane.ksu.edu.tr/"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b w:val="0"/>
          <w:bCs w:val="0"/>
          <w:color w:val="000000"/>
          <w:sz w:val="24"/>
          <w:szCs w:val="24"/>
          <w:u w:val="single"/>
        </w:rPr>
        <w:t>.</w:t>
      </w:r>
    </w:p>
    <w:p w14:paraId="7CBA891C">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C.2.2. Ulusal ve uluslararası ortak programlar ve ortak araştırma birimleri</w:t>
      </w:r>
    </w:p>
    <w:p w14:paraId="10C69F0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7F18D93F">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Düzey 1 Kurumlar arası işbirliklerini, disiplinler arası girişimleri, sinerji yaratacak ortak girişimleri özendirecek mekanizmalar mevcut değildir</w:t>
      </w:r>
    </w:p>
    <w:p w14:paraId="77534F61">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 Düzey 2 olabilmesi için: Ulusal ve uluslararası ortak programlar ve ortak araştırma birimlerinin oluşturulması amacıyla üniversitemizde var olan Proje Geliştirme, Koordinasyon Uygulama ve Araştırma Merkezinden destek alınarak işbirlikçi faaliyetler yapılmalıdır.</w:t>
      </w:r>
    </w:p>
    <w:p w14:paraId="2ECEB92A">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4DE31744">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Sağlık Bilimleri Fakültesi bünyesinde her yıl Kurum İç Değerlendirme, faaliyet raporu ile her bölümün araştırma performansları izlenmekte ve rapor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"https://kalite.ksu.edu.tr/default.aspx?DId=58473"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Bu raporlar fakülte ve üniversite bünyesinde web sitesinde ilan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"https://saglik.ksu.edu.tr/Default.aspx?SId=21691"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FTR bölümünde faaliyet raporları Fizyoterapi ve Rehabilitasyon bölümü Birim Kalite ve Faaliyet Raporu Komisyonu’nda görevli olan sorumlu öğretim elemanına iletilmektedir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.Bu kapsamda KIDR faaliyet raporu içerisinde bölüm web sayfasında ilan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"https://saglik.ksu.edu.tr/Default.aspx?SId=21693"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w:t>
      </w:r>
    </w:p>
    <w:p w14:paraId="2062C01D">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C.3. Araştırma Performansı</w:t>
      </w:r>
    </w:p>
    <w:p w14:paraId="621F0C2C">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Kurumda araştırma faaliyetleri yıllık olarak izlenir bunun için oluşturulmuş olan KSÜ VERSİS uygulamasında yıllık veriler toplanarak takip edilir</w:t>
      </w:r>
      <w:r>
        <w:fldChar w:fldCharType="begin"/>
      </w:r>
      <w:r>
        <w:instrText xml:space="preserve"> HYPERLINK "https://versis.ksu.edu.tr/login.aspx"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647F0AF4">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379BD8A4">
      <w:pPr>
        <w:pStyle w:val="2"/>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color w:val="000000" w:themeColor="text1"/>
          <w:sz w:val="24"/>
          <w:szCs w:val="24"/>
          <w14:textFill>
            <w14:solidFill>
              <w14:schemeClr w14:val="tx1"/>
            </w14:solidFill>
          </w14:textFill>
        </w:rPr>
        <w:t xml:space="preserve">Hemşirelik Bölümünde öğretim elemanlarına ait devam eden dış destekli proje sayısı 12 dir. Hemşirelik Bölümünde öğretim elemanlarına ait İlk %10'luk dilimde bulunan dergilerdeki yayın sayısının, toplam yayın sayısına oranı (SCI, SSCI, AHCI, Scopus ve WOS-InCites) </w:t>
      </w:r>
    </w:p>
    <w:tbl>
      <w:tblPr>
        <w:tblStyle w:val="9"/>
        <w:tblW w:w="0" w:type="auto"/>
        <w:jc w:val="center"/>
        <w:tblLayout w:type="autofit"/>
        <w:tblCellMar>
          <w:top w:w="0" w:type="dxa"/>
          <w:left w:w="108" w:type="dxa"/>
          <w:bottom w:w="0" w:type="dxa"/>
          <w:right w:w="108" w:type="dxa"/>
        </w:tblCellMar>
      </w:tblPr>
      <w:tblGrid>
        <w:gridCol w:w="6600"/>
        <w:gridCol w:w="1980"/>
      </w:tblGrid>
      <w:tr w14:paraId="085D15AA">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0D2D72E">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Doç.Dr. FİLİZ TAŞ</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395E41D">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w:t>
            </w:r>
          </w:p>
        </w:tc>
      </w:tr>
      <w:tr w14:paraId="0EE944EB">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614C829">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Dr.Öğr.Üyesi NİHAL ALOĞLU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64FCFF2">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w:t>
            </w:r>
          </w:p>
        </w:tc>
      </w:tr>
      <w:tr w14:paraId="79CC1754">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605A238">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 Öğr. Üyesi ASLIHAN AKSU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12D16AF">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0.25</w:t>
            </w:r>
          </w:p>
        </w:tc>
      </w:tr>
    </w:tbl>
    <w:p w14:paraId="25A7F6F7">
      <w:pPr>
        <w:pStyle w:val="2"/>
        <w:spacing w:line="360" w:lineRule="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 xml:space="preserve">Hemşirelik Bölümünde öğretim elemanlarına ait Atıf sayıları (SCI, SSCI, AHCI, Scopus ve WOS-InCites) </w:t>
      </w:r>
    </w:p>
    <w:tbl>
      <w:tblPr>
        <w:tblStyle w:val="9"/>
        <w:tblW w:w="0" w:type="auto"/>
        <w:jc w:val="center"/>
        <w:tblLayout w:type="autofit"/>
        <w:tblCellMar>
          <w:top w:w="0" w:type="dxa"/>
          <w:left w:w="108" w:type="dxa"/>
          <w:bottom w:w="0" w:type="dxa"/>
          <w:right w:w="108" w:type="dxa"/>
        </w:tblCellMar>
      </w:tblPr>
      <w:tblGrid>
        <w:gridCol w:w="6600"/>
        <w:gridCol w:w="1980"/>
      </w:tblGrid>
      <w:tr w14:paraId="77190C46">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7BA288A">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Doç.Dr. FİLİZ TAŞ</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7BB2028E">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30</w:t>
            </w:r>
          </w:p>
        </w:tc>
      </w:tr>
      <w:tr w14:paraId="60933AB1">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6F8E207">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Doç.Dr. FATMA KARASU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503DF1D">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28</w:t>
            </w:r>
          </w:p>
        </w:tc>
      </w:tr>
      <w:tr w14:paraId="230A84E0">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B3F8C5E">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Doç.Dr. EMİNE DERYA İSTER</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FF8B37D">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16</w:t>
            </w:r>
          </w:p>
        </w:tc>
      </w:tr>
      <w:tr w14:paraId="13328997">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5983D45">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Prof.Dr. MEHTAP SÖNMEZ</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C736D3D">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14</w:t>
            </w:r>
          </w:p>
        </w:tc>
      </w:tr>
      <w:tr w14:paraId="62C61A4E">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4D523D3">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 Öğr. Üyesi ASLIHAN AKSU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FCC1172">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10</w:t>
            </w:r>
          </w:p>
        </w:tc>
      </w:tr>
      <w:tr w14:paraId="09F16B9A">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4EBFEA5">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Arş. Gör. Dr. SÜMEYYE YILDIZ</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4C94F7C0">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5</w:t>
            </w:r>
          </w:p>
        </w:tc>
      </w:tr>
      <w:tr w14:paraId="41CA1694">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DB9A72C">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Dr.Öğr.Üyesi TUBA GEÇDİ</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64F0D9D">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4</w:t>
            </w:r>
          </w:p>
        </w:tc>
      </w:tr>
      <w:tr w14:paraId="45D8F40E">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00D0FDBE">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Dr.Öğr.Üyesi FATMA KESKİN TÖRE</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6CA30A8F">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4</w:t>
            </w:r>
          </w:p>
        </w:tc>
      </w:tr>
      <w:tr w14:paraId="6DC03B7C">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2F1795E1">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Dr.Öğr.Üyesi NİHAL ALOĞLU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6DD9595">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2</w:t>
            </w:r>
          </w:p>
        </w:tc>
      </w:tr>
    </w:tbl>
    <w:p w14:paraId="02B6F365">
      <w:pPr>
        <w:spacing w:line="257"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H</w:t>
      </w:r>
      <w:r>
        <w:rPr>
          <w:rFonts w:hint="default" w:ascii="Times New Roman" w:hAnsi="Times New Roman" w:eastAsia="Times New Roman" w:cs="Times New Roman"/>
          <w:sz w:val="24"/>
          <w:szCs w:val="24"/>
        </w:rPr>
        <w:t xml:space="preserve">emşirelik Bölümünde Akademisyen başına İlk %10'luk dilimde bulunan dergilerdeki atıf alan yayın sayısının toplam yayın sayısına oranı (SCI, SSCI, AHCI, Scopus ve WOS-InCites) </w:t>
      </w:r>
    </w:p>
    <w:tbl>
      <w:tblPr>
        <w:tblStyle w:val="9"/>
        <w:tblW w:w="0" w:type="auto"/>
        <w:jc w:val="center"/>
        <w:tblLayout w:type="autofit"/>
        <w:tblCellMar>
          <w:top w:w="0" w:type="dxa"/>
          <w:left w:w="108" w:type="dxa"/>
          <w:bottom w:w="0" w:type="dxa"/>
          <w:right w:w="108" w:type="dxa"/>
        </w:tblCellMar>
      </w:tblPr>
      <w:tblGrid>
        <w:gridCol w:w="6600"/>
        <w:gridCol w:w="1980"/>
      </w:tblGrid>
      <w:tr w14:paraId="564CBE03">
        <w:tblPrEx>
          <w:tblCellMar>
            <w:top w:w="0" w:type="dxa"/>
            <w:left w:w="108" w:type="dxa"/>
            <w:bottom w:w="0" w:type="dxa"/>
            <w:right w:w="108" w:type="dxa"/>
          </w:tblCellMar>
        </w:tblPrEx>
        <w:trPr>
          <w:trHeight w:val="270" w:hRule="atLeast"/>
          <w:jc w:val="center"/>
        </w:trPr>
        <w:tc>
          <w:tcPr>
            <w:tcW w:w="66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3FA41A2C">
            <w:pPr>
              <w:spacing w:after="160" w:line="257" w:lineRule="auto"/>
              <w:jc w:val="center"/>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Dr. Öğr. Üyesi ASLIHAN AKSU</w:t>
            </w:r>
          </w:p>
        </w:tc>
        <w:tc>
          <w:tcPr>
            <w:tcW w:w="19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20" w:type="dxa"/>
              <w:right w:w="20" w:type="dxa"/>
            </w:tcMar>
          </w:tcPr>
          <w:p w14:paraId="158CD179">
            <w:pPr>
              <w:spacing w:after="160" w:line="257" w:lineRule="auto"/>
              <w:jc w:val="both"/>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1/1=1</w:t>
            </w:r>
          </w:p>
        </w:tc>
      </w:tr>
    </w:tbl>
    <w:p w14:paraId="592255A0">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Birim içi Uluslararası indeksli dergi yayın sayıları Hemşirelik Bölümünde öğretim elemanlarına ait uluslararası indeksli (SCI, SSCI, AHCI, Scopus ve WOS-InCites) dergilerdeki yayın sayısı  11’dir. Öğretim elemanlarının tüm araştırma faaliyetlerini KSÜ VERSİS sistemine girmektedirler. Akademisyen başına uluslararası indeksli (SCI, SSCI, AHCI, Scopus ve WOS-InCites) dergilerdeki yayın sayısı 11/21=0,5238 dir.</w:t>
      </w:r>
    </w:p>
    <w:p w14:paraId="153BC17B">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Birim içi Uluslararası indeksli dergi yayınları Hemşirelik Bölümünde öğretim elemanlarına ait Uluslararası diğer indeksli dergilerdeki yayın sayısı 10’dur.  Akademisyen başına uluslararası diğer indeksli dergilerdeki yayın sayısı  10/21=0,4761’dir.</w:t>
      </w:r>
    </w:p>
    <w:p w14:paraId="307A43CE">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Kurumda araştırma faaliyetleri yıllık olarak izlenir bunun için oluşturulmuş olan KSÜ VERSİS uygulamasında yıllık veriler toplanarak takip edilir. (</w:t>
      </w:r>
      <w:r>
        <w:fldChar w:fldCharType="begin"/>
      </w:r>
      <w:r>
        <w:instrText xml:space="preserve"> HYPERLINK "https://versis.ksu.edu.tr/login.aspx"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Hemşirelik bölümü olarak yıllık Birim Faaliyet Raporu yayınlanmaktadır (</w:t>
      </w:r>
      <w:r>
        <w:fldChar w:fldCharType="begin"/>
      </w:r>
      <w:r>
        <w:instrText xml:space="preserve"> HYPERLINK "https://drive.google.com/file/d/1zmrGDWrWfL38eVlQT3aElK6JB_TVO_iq/view"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Bölümün web sayfasında TÜBİTAK projeleri ve benzeri akademik başarıların düzenli olarak paylaşılması yoluyla akademik performans ve motivasyonun artırılması hedeflenmektedir. (</w:t>
      </w:r>
      <w:r>
        <w:fldChar w:fldCharType="begin"/>
      </w:r>
      <w:r>
        <w:instrText xml:space="preserve"> HYPERLINK "https://sbfhemsirelik.ksu.edu.tr/default.aspx?DId=89511"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5D88118C">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Birim düzeyinde yıllık olarak toplanan veriler kapsamında motivasyona yönelik doğrudan bir değerlendirme yapılmamaktadır. Bununla birlikte, üniversite genelinde akademik araştırma faaliyetleri; ödüller, yayın birincilikleri ve teşekkür/takdir belgeleri aracılığıyla teşvik edilerek motivasyonun artırılması amaçlanmaktadır. Araştırma performansı yıl bazında izlenmekte ve değerlendirilmektedir; ancak elde edilen bulguların kurumsal politikalar doğrultusunda sistematik bir şekilde kullanıldığına ilişkin yapılandırılmış bir mekanizma bulunmamaktadır.</w:t>
      </w:r>
    </w:p>
    <w:p w14:paraId="7C67FFE7">
      <w:pPr>
        <w:pStyle w:val="2"/>
        <w:spacing w:line="240" w:lineRule="auto"/>
        <w:rPr>
          <w:rFonts w:ascii="Times New Roman" w:hAnsi="Times New Roman" w:cs="Times New Roman"/>
          <w:color w:val="auto"/>
          <w:sz w:val="24"/>
          <w:szCs w:val="24"/>
        </w:rPr>
      </w:pPr>
      <w:r>
        <w:rPr>
          <w:rFonts w:ascii="Times New Roman" w:hAnsi="Times New Roman" w:cs="Times New Roman"/>
          <w:color w:val="auto"/>
          <w:sz w:val="22"/>
          <w:szCs w:val="22"/>
        </w:rPr>
        <w:t>E</w:t>
      </w:r>
      <w:r>
        <w:rPr>
          <w:rFonts w:ascii="Times New Roman" w:hAnsi="Times New Roman" w:cs="Times New Roman"/>
          <w:color w:val="auto"/>
          <w:sz w:val="24"/>
          <w:szCs w:val="24"/>
        </w:rPr>
        <w:t>belik</w:t>
      </w:r>
    </w:p>
    <w:p w14:paraId="75246DD3">
      <w:pPr>
        <w:pStyle w:val="2"/>
        <w:spacing w:before="200" w:after="120" w:line="24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Ebelik Bölümünde öğretim elemanlarına ait devam eden dış destekli proje sayısı 4’dür.</w:t>
      </w:r>
    </w:p>
    <w:tbl>
      <w:tblPr>
        <w:tblStyle w:val="9"/>
        <w:tblpPr w:leftFromText="180" w:rightFromText="180" w:vertAnchor="text" w:horzAnchor="page" w:tblpX="734" w:tblpY="269"/>
        <w:tblOverlap w:val="never"/>
        <w:tblW w:w="8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0"/>
        <w:gridCol w:w="2040"/>
      </w:tblGrid>
      <w:tr w14:paraId="02EB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single" w:color="000000" w:sz="8" w:space="0"/>
              <w:left w:val="single" w:color="000000" w:sz="8" w:space="0"/>
              <w:bottom w:val="single" w:color="000000" w:sz="8" w:space="0"/>
              <w:right w:val="single" w:color="000000" w:sz="8" w:space="0"/>
            </w:tcBorders>
            <w:tcMar>
              <w:top w:w="0" w:type="dxa"/>
              <w:left w:w="20" w:type="dxa"/>
              <w:bottom w:w="0" w:type="dxa"/>
              <w:right w:w="20" w:type="dxa"/>
            </w:tcMar>
          </w:tcPr>
          <w:p w14:paraId="4D93657F">
            <w:pPr>
              <w:pStyle w:val="2"/>
              <w:spacing w:before="240" w:after="160" w:line="24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Semra Pınar</w:t>
            </w:r>
          </w:p>
        </w:tc>
        <w:tc>
          <w:tcPr>
            <w:tcW w:w="2040" w:type="dxa"/>
            <w:tcBorders>
              <w:top w:val="single" w:color="000000" w:sz="8" w:space="0"/>
              <w:left w:val="nil"/>
              <w:bottom w:val="single" w:color="000000" w:sz="8" w:space="0"/>
              <w:right w:val="single" w:color="000000" w:sz="8" w:space="0"/>
            </w:tcBorders>
            <w:tcMar>
              <w:top w:w="0" w:type="dxa"/>
              <w:left w:w="20" w:type="dxa"/>
              <w:bottom w:w="0" w:type="dxa"/>
              <w:right w:w="20" w:type="dxa"/>
            </w:tcMar>
          </w:tcPr>
          <w:p w14:paraId="6D8A67A1">
            <w:pPr>
              <w:pStyle w:val="2"/>
              <w:spacing w:before="240" w:after="160" w:line="24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4</w:t>
            </w:r>
          </w:p>
        </w:tc>
      </w:tr>
      <w:tr w14:paraId="41FA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2B701675">
            <w:pPr>
              <w:pStyle w:val="2"/>
              <w:spacing w:before="240" w:after="160" w:line="24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Güldane Damla Kaya</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4B8271B4">
            <w:pPr>
              <w:pStyle w:val="2"/>
              <w:spacing w:before="240" w:after="160" w:line="24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w:t>
            </w:r>
          </w:p>
        </w:tc>
      </w:tr>
    </w:tbl>
    <w:p w14:paraId="406FBD4D">
      <w:pPr>
        <w:spacing w:line="240" w:lineRule="auto"/>
        <w:jc w:val="both"/>
        <w:rPr>
          <w:rFonts w:ascii="Times New Roman" w:hAnsi="Times New Roman" w:cs="Times New Roman"/>
          <w:sz w:val="24"/>
          <w:szCs w:val="24"/>
        </w:rPr>
      </w:pPr>
    </w:p>
    <w:p w14:paraId="240F7166">
      <w:pPr>
        <w:pStyle w:val="2"/>
        <w:spacing w:before="480" w:after="120" w:line="360" w:lineRule="auto"/>
        <w:rPr>
          <w:rFonts w:ascii="Times New Roman" w:hAnsi="Times New Roman" w:cs="Times New Roman"/>
          <w:b w:val="0"/>
          <w:bCs w:val="0"/>
          <w:color w:val="000000"/>
          <w:sz w:val="24"/>
          <w:szCs w:val="24"/>
        </w:rPr>
      </w:pPr>
      <w:bookmarkStart w:id="24" w:name="_dwde7ci1egm3" w:colFirst="0" w:colLast="0"/>
      <w:bookmarkEnd w:id="24"/>
    </w:p>
    <w:p w14:paraId="7752809E">
      <w:pPr>
        <w:pStyle w:val="2"/>
        <w:spacing w:before="480" w:after="120" w:line="360" w:lineRule="auto"/>
        <w:rPr>
          <w:rFonts w:ascii="Times New Roman" w:hAnsi="Times New Roman" w:cs="Times New Roman"/>
          <w:b w:val="0"/>
          <w:bCs w:val="0"/>
          <w:color w:val="000000"/>
          <w:sz w:val="24"/>
          <w:szCs w:val="24"/>
        </w:rPr>
      </w:pPr>
    </w:p>
    <w:p w14:paraId="6072EE0A">
      <w:pPr>
        <w:pStyle w:val="2"/>
        <w:spacing w:before="480" w:after="120"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Ebelik Bölümünde öğretim elemanlarına ait uluslararası indeksli (SCI, SSCI, AHCI, Scopus ve WOS-InCites) dergilerdeki yayın sayısı 18’dir. Akademisyen başına uluslararası indeksli (SCI, SSCI, AHCI, Scopus ve WOS-InCites) dergilerdeki yayın sayısı 18/9=2’dir.</w:t>
      </w:r>
    </w:p>
    <w:p w14:paraId="3422DD1C">
      <w:pPr>
        <w:spacing w:line="360" w:lineRule="auto"/>
        <w:jc w:val="both"/>
        <w:rPr>
          <w:rFonts w:ascii="Times New Roman" w:hAnsi="Times New Roman" w:cs="Times New Roman"/>
          <w:sz w:val="24"/>
          <w:szCs w:val="24"/>
        </w:rPr>
      </w:pPr>
    </w:p>
    <w:tbl>
      <w:tblPr>
        <w:tblStyle w:val="9"/>
        <w:tblW w:w="8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0"/>
        <w:gridCol w:w="2040"/>
      </w:tblGrid>
      <w:tr w14:paraId="11ED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single" w:color="000000" w:sz="8" w:space="0"/>
              <w:left w:val="single" w:color="000000" w:sz="8" w:space="0"/>
              <w:bottom w:val="single" w:color="000000" w:sz="8" w:space="0"/>
              <w:right w:val="single" w:color="000000" w:sz="8" w:space="0"/>
            </w:tcBorders>
            <w:tcMar>
              <w:top w:w="0" w:type="dxa"/>
              <w:left w:w="20" w:type="dxa"/>
              <w:bottom w:w="0" w:type="dxa"/>
              <w:right w:w="20" w:type="dxa"/>
            </w:tcMar>
          </w:tcPr>
          <w:p w14:paraId="38894F18">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Doç .Dr. Aysel BÜLEZ</w:t>
            </w:r>
          </w:p>
        </w:tc>
        <w:tc>
          <w:tcPr>
            <w:tcW w:w="2040" w:type="dxa"/>
            <w:tcBorders>
              <w:top w:val="single" w:color="000000" w:sz="8" w:space="0"/>
              <w:left w:val="nil"/>
              <w:bottom w:val="single" w:color="000000" w:sz="8" w:space="0"/>
              <w:right w:val="single" w:color="000000" w:sz="8" w:space="0"/>
            </w:tcBorders>
            <w:tcMar>
              <w:top w:w="0" w:type="dxa"/>
              <w:left w:w="20" w:type="dxa"/>
              <w:bottom w:w="0" w:type="dxa"/>
              <w:right w:w="20" w:type="dxa"/>
            </w:tcMar>
          </w:tcPr>
          <w:p w14:paraId="06AC0FFB">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w:t>
            </w:r>
          </w:p>
        </w:tc>
      </w:tr>
      <w:tr w14:paraId="42693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6C327CA3">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Doç Dr. Deniz AKYILDIZ</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67E474FF">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w:t>
            </w:r>
          </w:p>
        </w:tc>
      </w:tr>
      <w:tr w14:paraId="4283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59767956">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Hatice Gül ÖZTAŞ</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3119B6BA">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4</w:t>
            </w:r>
          </w:p>
        </w:tc>
      </w:tr>
      <w:tr w14:paraId="6D09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57338595">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Esra Karataş OKYAY</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6E988A94">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w:t>
            </w:r>
          </w:p>
        </w:tc>
      </w:tr>
      <w:tr w14:paraId="5295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18F772B9">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Emine AKSÜT AKÇAY</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67F8E5D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w:t>
            </w:r>
          </w:p>
        </w:tc>
      </w:tr>
      <w:tr w14:paraId="7125E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49D4DD3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Mine Gökduman Keleş</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06366DFB">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w:t>
            </w:r>
          </w:p>
        </w:tc>
      </w:tr>
      <w:tr w14:paraId="44783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5706041E">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Güldane Damla Kaya</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1CD8CE8A">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w:t>
            </w:r>
          </w:p>
        </w:tc>
      </w:tr>
    </w:tbl>
    <w:p w14:paraId="34E7B0DB">
      <w:pPr>
        <w:pStyle w:val="2"/>
        <w:spacing w:before="480" w:after="120" w:line="360" w:lineRule="auto"/>
        <w:rPr>
          <w:rFonts w:ascii="Times New Roman" w:hAnsi="Times New Roman" w:cs="Times New Roman"/>
          <w:sz w:val="24"/>
          <w:szCs w:val="24"/>
        </w:rPr>
      </w:pPr>
      <w:bookmarkStart w:id="25" w:name="_jzfdo2d94n8f" w:colFirst="0" w:colLast="0"/>
      <w:bookmarkEnd w:id="25"/>
      <w:r>
        <w:rPr>
          <w:rFonts w:ascii="Times New Roman" w:hAnsi="Times New Roman" w:cs="Times New Roman"/>
          <w:b w:val="0"/>
          <w:bCs w:val="0"/>
          <w:color w:val="000000"/>
          <w:sz w:val="24"/>
          <w:szCs w:val="24"/>
        </w:rPr>
        <w:t>Ebelik Bölümünde öğretim elemanlarına ait uluslararası diğer indeksli (SCI, SSCI, AHCI, Scopus ve WOS-InCites Dışındaki Yayınlar) dergilerdeki yayın sayısı 13’dür. Akademisyen başına uluslararası diğer indeksli (SCI, SSCI, AHCI, Scopus ve WOS-InCites Dışındaki Yayınlar) dergilerdeki yayın sayısı 13/9=1.44’dür. Öğretim elemanlarının tüm araştırma faaliyetlerini KSÜ VERSİS sistemine girmektedirler.</w:t>
      </w:r>
    </w:p>
    <w:p w14:paraId="377891BC">
      <w:pPr>
        <w:spacing w:line="360" w:lineRule="auto"/>
        <w:jc w:val="both"/>
        <w:rPr>
          <w:rFonts w:ascii="Times New Roman" w:hAnsi="Times New Roman" w:cs="Times New Roman"/>
          <w:sz w:val="24"/>
          <w:szCs w:val="24"/>
        </w:rPr>
      </w:pPr>
    </w:p>
    <w:tbl>
      <w:tblPr>
        <w:tblStyle w:val="9"/>
        <w:tblW w:w="8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0"/>
        <w:gridCol w:w="2040"/>
      </w:tblGrid>
      <w:tr w14:paraId="588D8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single" w:color="000000" w:sz="8" w:space="0"/>
              <w:left w:val="single" w:color="000000" w:sz="8" w:space="0"/>
              <w:bottom w:val="single" w:color="000000" w:sz="8" w:space="0"/>
              <w:right w:val="single" w:color="000000" w:sz="8" w:space="0"/>
            </w:tcBorders>
            <w:tcMar>
              <w:top w:w="0" w:type="dxa"/>
              <w:left w:w="20" w:type="dxa"/>
              <w:bottom w:w="0" w:type="dxa"/>
              <w:right w:w="20" w:type="dxa"/>
            </w:tcMar>
          </w:tcPr>
          <w:p w14:paraId="277B9A69">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Doç Dr. Deniz AKYILDIZ</w:t>
            </w:r>
          </w:p>
        </w:tc>
        <w:tc>
          <w:tcPr>
            <w:tcW w:w="2040" w:type="dxa"/>
            <w:tcBorders>
              <w:top w:val="single" w:color="000000" w:sz="8" w:space="0"/>
              <w:left w:val="nil"/>
              <w:bottom w:val="single" w:color="000000" w:sz="8" w:space="0"/>
              <w:right w:val="single" w:color="000000" w:sz="8" w:space="0"/>
            </w:tcBorders>
            <w:tcMar>
              <w:top w:w="0" w:type="dxa"/>
              <w:left w:w="20" w:type="dxa"/>
              <w:bottom w:w="0" w:type="dxa"/>
              <w:right w:w="20" w:type="dxa"/>
            </w:tcMar>
          </w:tcPr>
          <w:p w14:paraId="4BDF8210">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w:t>
            </w:r>
          </w:p>
        </w:tc>
      </w:tr>
      <w:tr w14:paraId="1366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4904B05F">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Hatice Gül ÖZTAŞ</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53EF038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w:t>
            </w:r>
          </w:p>
        </w:tc>
      </w:tr>
      <w:tr w14:paraId="3E66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54E343B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Esra Karataş OKYAY</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2DA8C3A7">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w:t>
            </w:r>
          </w:p>
        </w:tc>
      </w:tr>
      <w:tr w14:paraId="722DC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064CFFE2">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Emine AKSÜT AKÇAY</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5301412A">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6</w:t>
            </w:r>
          </w:p>
        </w:tc>
      </w:tr>
      <w:tr w14:paraId="7687F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660"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623996B5">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Mine Gökduman Keleş</w:t>
            </w:r>
          </w:p>
        </w:tc>
        <w:tc>
          <w:tcPr>
            <w:tcW w:w="2040" w:type="dxa"/>
            <w:tcBorders>
              <w:top w:val="nil"/>
              <w:left w:val="nil"/>
              <w:bottom w:val="single" w:color="000000" w:sz="8" w:space="0"/>
              <w:right w:val="single" w:color="000000" w:sz="8" w:space="0"/>
            </w:tcBorders>
            <w:tcMar>
              <w:top w:w="0" w:type="dxa"/>
              <w:left w:w="20" w:type="dxa"/>
              <w:bottom w:w="0" w:type="dxa"/>
              <w:right w:w="20" w:type="dxa"/>
            </w:tcMar>
          </w:tcPr>
          <w:p w14:paraId="565784A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w:t>
            </w:r>
          </w:p>
        </w:tc>
      </w:tr>
    </w:tbl>
    <w:p w14:paraId="5A10A431">
      <w:pPr>
        <w:pStyle w:val="2"/>
        <w:spacing w:before="480" w:after="120" w:line="360" w:lineRule="auto"/>
        <w:rPr>
          <w:rFonts w:ascii="Times New Roman" w:hAnsi="Times New Roman" w:cs="Times New Roman"/>
          <w:b w:val="0"/>
          <w:bCs w:val="0"/>
          <w:color w:val="000000"/>
          <w:sz w:val="24"/>
          <w:szCs w:val="24"/>
        </w:rPr>
      </w:pPr>
      <w:bookmarkStart w:id="26" w:name="_hmg6um7jycxd" w:colFirst="0" w:colLast="0"/>
      <w:bookmarkEnd w:id="26"/>
      <w:r>
        <w:rPr>
          <w:rFonts w:ascii="Times New Roman" w:hAnsi="Times New Roman" w:cs="Times New Roman"/>
          <w:b w:val="0"/>
          <w:bCs w:val="0"/>
          <w:color w:val="000000"/>
          <w:sz w:val="24"/>
          <w:szCs w:val="24"/>
        </w:rPr>
        <w:t>Ebelik Bölümünde öğretim elemanlarına ait Atıf sayıları 225’dir (SCI, SSCI, AHCI, Scopus ve WOS-InCites)</w:t>
      </w:r>
    </w:p>
    <w:p w14:paraId="4F305BDE">
      <w:pPr>
        <w:spacing w:line="360" w:lineRule="auto"/>
        <w:jc w:val="both"/>
        <w:rPr>
          <w:rFonts w:ascii="Times New Roman" w:hAnsi="Times New Roman" w:cs="Times New Roman"/>
          <w:sz w:val="24"/>
          <w:szCs w:val="24"/>
        </w:rPr>
      </w:pPr>
    </w:p>
    <w:tbl>
      <w:tblPr>
        <w:tblStyle w:val="9"/>
        <w:tblW w:w="9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39"/>
        <w:gridCol w:w="2247"/>
      </w:tblGrid>
      <w:tr w14:paraId="1C4D4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single" w:color="000000" w:sz="8" w:space="0"/>
              <w:left w:val="single" w:color="000000" w:sz="8" w:space="0"/>
              <w:bottom w:val="single" w:color="000000" w:sz="8" w:space="0"/>
              <w:right w:val="single" w:color="000000" w:sz="8" w:space="0"/>
            </w:tcBorders>
            <w:tcMar>
              <w:top w:w="0" w:type="dxa"/>
              <w:left w:w="20" w:type="dxa"/>
              <w:bottom w:w="0" w:type="dxa"/>
              <w:right w:w="20" w:type="dxa"/>
            </w:tcMar>
          </w:tcPr>
          <w:p w14:paraId="0D413057">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Doç .Dr. Aysel BÜLEZ</w:t>
            </w:r>
          </w:p>
        </w:tc>
        <w:tc>
          <w:tcPr>
            <w:tcW w:w="2247" w:type="dxa"/>
            <w:tcBorders>
              <w:top w:val="single" w:color="000000" w:sz="8" w:space="0"/>
              <w:left w:val="nil"/>
              <w:bottom w:val="single" w:color="000000" w:sz="8" w:space="0"/>
              <w:right w:val="single" w:color="000000" w:sz="8" w:space="0"/>
            </w:tcBorders>
            <w:tcMar>
              <w:top w:w="0" w:type="dxa"/>
              <w:left w:w="20" w:type="dxa"/>
              <w:bottom w:w="0" w:type="dxa"/>
              <w:right w:w="20" w:type="dxa"/>
            </w:tcMar>
          </w:tcPr>
          <w:p w14:paraId="18E8212C">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34</w:t>
            </w:r>
          </w:p>
        </w:tc>
      </w:tr>
      <w:tr w14:paraId="673E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5B57AEBF">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Doç Dr. Deniz AKYILDIZ</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4DD7B4C5">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45</w:t>
            </w:r>
          </w:p>
        </w:tc>
      </w:tr>
      <w:tr w14:paraId="53A8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6F2B8F52">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Hatice Gül ÖZTAŞ</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752626BC">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30</w:t>
            </w:r>
          </w:p>
        </w:tc>
      </w:tr>
      <w:tr w14:paraId="5A1B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13B8DC99">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Esra Karataş OKYAY</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35F383FE">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63</w:t>
            </w:r>
          </w:p>
        </w:tc>
      </w:tr>
      <w:tr w14:paraId="1945B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6B1B53E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Hülya KAMALAK</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126DCC5D">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6</w:t>
            </w:r>
          </w:p>
        </w:tc>
      </w:tr>
      <w:tr w14:paraId="66D5F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224BD016">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Emine AKSÜT AKÇAY</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517A95E9">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8</w:t>
            </w:r>
          </w:p>
        </w:tc>
      </w:tr>
      <w:tr w14:paraId="1A251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392A5CB1">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Semra Pınar</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2932BA62">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12</w:t>
            </w:r>
          </w:p>
        </w:tc>
      </w:tr>
      <w:tr w14:paraId="06881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1B19610E">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Mine Gökduman Keleş</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37AD1840">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7</w:t>
            </w:r>
          </w:p>
        </w:tc>
      </w:tr>
      <w:tr w14:paraId="4096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7339" w:type="dxa"/>
            <w:tcBorders>
              <w:top w:val="nil"/>
              <w:left w:val="single" w:color="000000" w:sz="8" w:space="0"/>
              <w:bottom w:val="single" w:color="000000" w:sz="8" w:space="0"/>
              <w:right w:val="single" w:color="000000" w:sz="8" w:space="0"/>
            </w:tcBorders>
            <w:tcMar>
              <w:top w:w="0" w:type="dxa"/>
              <w:left w:w="20" w:type="dxa"/>
              <w:bottom w:w="0" w:type="dxa"/>
              <w:right w:w="20" w:type="dxa"/>
            </w:tcMar>
          </w:tcPr>
          <w:p w14:paraId="2D197182">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Dr. Öğr. Üyesi Güldane Damla Kaya</w:t>
            </w:r>
          </w:p>
        </w:tc>
        <w:tc>
          <w:tcPr>
            <w:tcW w:w="2247" w:type="dxa"/>
            <w:tcBorders>
              <w:top w:val="nil"/>
              <w:left w:val="nil"/>
              <w:bottom w:val="single" w:color="000000" w:sz="8" w:space="0"/>
              <w:right w:val="single" w:color="000000" w:sz="8" w:space="0"/>
            </w:tcBorders>
            <w:tcMar>
              <w:top w:w="0" w:type="dxa"/>
              <w:left w:w="20" w:type="dxa"/>
              <w:bottom w:w="0" w:type="dxa"/>
              <w:right w:w="20" w:type="dxa"/>
            </w:tcMar>
          </w:tcPr>
          <w:p w14:paraId="44245328">
            <w:pPr>
              <w:pStyle w:val="2"/>
              <w:spacing w:before="240" w:after="160" w:line="360" w:lineRule="auto"/>
              <w:ind w:right="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20</w:t>
            </w:r>
          </w:p>
        </w:tc>
      </w:tr>
    </w:tbl>
    <w:p w14:paraId="27311595">
      <w:pPr>
        <w:pStyle w:val="2"/>
        <w:spacing w:before="200" w:line="360" w:lineRule="auto"/>
        <w:rPr>
          <w:rFonts w:ascii="Times New Roman" w:hAnsi="Times New Roman" w:cs="Times New Roman"/>
          <w:b w:val="0"/>
          <w:bCs w:val="0"/>
          <w:color w:val="000000"/>
          <w:sz w:val="24"/>
          <w:szCs w:val="24"/>
        </w:rPr>
      </w:pPr>
      <w:bookmarkStart w:id="27" w:name="_w2gkso2b12k9" w:colFirst="0" w:colLast="0"/>
      <w:bookmarkEnd w:id="27"/>
      <w:bookmarkStart w:id="28" w:name="_yp8m8es35qrj" w:colFirst="0" w:colLast="0"/>
      <w:bookmarkEnd w:id="28"/>
      <w:bookmarkStart w:id="29" w:name="_ohpufa8gsjss" w:colFirst="0" w:colLast="0"/>
      <w:bookmarkEnd w:id="29"/>
      <w:r>
        <w:rPr>
          <w:rFonts w:ascii="Times New Roman" w:hAnsi="Times New Roman" w:cs="Times New Roman"/>
          <w:b w:val="0"/>
          <w:bCs w:val="0"/>
          <w:color w:val="000000"/>
          <w:sz w:val="24"/>
          <w:szCs w:val="24"/>
        </w:rPr>
        <w:t xml:space="preserve">Kurumda araştırma faaliyetleri yıllık olarak izlenir bunun için oluşturulmuş olan KSÜ VERSİS uygulamasında yıllık veriler toplanarak takip edilir </w:t>
      </w:r>
      <w:r>
        <w:rPr>
          <w:rFonts w:ascii="Times New Roman" w:hAnsi="Times New Roman" w:cs="Times New Roman"/>
          <w:color w:val="000000"/>
          <w:sz w:val="24"/>
          <w:szCs w:val="24"/>
        </w:rPr>
        <w:t>(</w:t>
      </w:r>
      <w:r>
        <w:fldChar w:fldCharType="begin"/>
      </w:r>
      <w:r>
        <w:instrText xml:space="preserve"> HYPERLINK "https://versis.ksu.edu.tr/login.aspx"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 xml:space="preserve">. Ebelik bölümü olarak yıllık Birim Faaliyet Raporu yayınlanmaktadır </w:t>
      </w:r>
      <w:r>
        <w:rPr>
          <w:rFonts w:ascii="Times New Roman" w:hAnsi="Times New Roman" w:cs="Times New Roman"/>
          <w:color w:val="000000"/>
          <w:sz w:val="24"/>
          <w:szCs w:val="24"/>
        </w:rPr>
        <w:t>(</w:t>
      </w:r>
      <w:r>
        <w:fldChar w:fldCharType="begin"/>
      </w:r>
      <w:r>
        <w:instrText xml:space="preserve"> HYPERLINK "https://sbfebelik.ksu.edu.tr/Default.aspx?SId=33499"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 xml:space="preserve">. Bölümün web sayfasında yurt dışı projeleri ve benzeri akademik başarıların düzenli olarak paylaşılması yoluyla akademik performans ve motivasyonun artırılması hedeflenmektedir </w:t>
      </w:r>
      <w:r>
        <w:rPr>
          <w:rFonts w:ascii="Times New Roman" w:hAnsi="Times New Roman" w:cs="Times New Roman"/>
          <w:color w:val="000000"/>
          <w:sz w:val="24"/>
          <w:szCs w:val="24"/>
        </w:rPr>
        <w:t>(</w:t>
      </w:r>
      <w:r>
        <w:fldChar w:fldCharType="begin"/>
      </w:r>
      <w:r>
        <w:instrText xml:space="preserve"> HYPERLINK "https://saglik.ksu.edu.tr/default.aspx?DId=102134"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w:t>
      </w:r>
    </w:p>
    <w:p w14:paraId="2115CB39">
      <w:pPr>
        <w:pStyle w:val="2"/>
        <w:spacing w:before="200" w:line="360" w:lineRule="auto"/>
        <w:rPr>
          <w:rFonts w:ascii="Times New Roman" w:hAnsi="Times New Roman" w:cs="Times New Roman"/>
          <w:b w:val="0"/>
          <w:bCs w:val="0"/>
          <w:color w:val="000000"/>
          <w:sz w:val="24"/>
          <w:szCs w:val="24"/>
        </w:rPr>
      </w:pPr>
      <w:bookmarkStart w:id="30" w:name="_x1wu12jexd9e" w:colFirst="0" w:colLast="0"/>
      <w:bookmarkEnd w:id="30"/>
      <w:r>
        <w:rPr>
          <w:rFonts w:ascii="Times New Roman" w:hAnsi="Times New Roman" w:cs="Times New Roman"/>
          <w:b w:val="0"/>
          <w:bCs w:val="0"/>
          <w:color w:val="000000"/>
          <w:sz w:val="24"/>
          <w:szCs w:val="24"/>
        </w:rPr>
        <w:t>Birim düzeyinde yıllık olarak toplanan veriler kapsamında motivasyona yönelik doğrudan bir değerlendirme yapılmamaktadır. Bununla birlikte, üniversite genelinde akademik araştırma faaliyetleri; ödüller, yayın birincilikleri ve teşekkür/takdir belgeleri aracılığıyla teşvik edilerek motivasyonun artırılması amaçlanmaktadır. Araştırma performansı yıl bazında izlenmekte ve değerlendirilmektedir; ancak elde edilen bulguların kurumsal politikalar doğrultusunda sistematik bir şekilde kullanıldığına ilişkin yapılandırılmış bir mekanizma bulunmamaktadır.</w:t>
      </w:r>
    </w:p>
    <w:p w14:paraId="127AFE64">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C.3.1. Araştırma performansının izlenmesi ve değerlendirilmesi</w:t>
      </w:r>
    </w:p>
    <w:p w14:paraId="7A20C4F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6108FC8B">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Birimde araştırma performansı yayın, proje ve akademik faaliyetler üzerinden yıllık olarak izlenmekte; ancak izleme sonuçları sistematik bir değerlendirme süreciyle bütünleştirilerek kurumsal karar alma ve iyileştirme mekanizmalarına yeterince yansıtılmamaktadır.</w:t>
      </w:r>
    </w:p>
    <w:p w14:paraId="30CD3877">
      <w:pPr>
        <w:pStyle w:val="2"/>
        <w:spacing w:line="360" w:lineRule="auto"/>
        <w:rPr>
          <w:rFonts w:ascii="Times New Roman" w:hAnsi="Times New Roman" w:cs="Times New Roman"/>
          <w:sz w:val="24"/>
          <w:szCs w:val="24"/>
        </w:rPr>
      </w:pPr>
      <w:r>
        <w:rPr>
          <w:rFonts w:ascii="Times New Roman" w:hAnsi="Times New Roman" w:cs="Times New Roman"/>
          <w:b w:val="0"/>
          <w:bCs w:val="0"/>
          <w:color w:val="auto"/>
          <w:sz w:val="24"/>
          <w:szCs w:val="24"/>
        </w:rPr>
        <w:t xml:space="preserve">Araştırma faaliyetlerine ilişkin nicel veriler düzenli olarak toplanmakta ve bireysel akademik performanslar izlenmektedir </w:t>
      </w:r>
      <w:r>
        <w:fldChar w:fldCharType="begin"/>
      </w:r>
      <w:r>
        <w:instrText xml:space="preserve"> HYPERLINK "https://euc-word-edit.officeapps.live.com/we/HEM%C5%9E%C4%B0REL%C4%B0K2025YILIFAAL%C4%B0YETRAPORU.pdf"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p>
    <w:p w14:paraId="56306096">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Fizyoterapi ve Rehabilitasyon</w:t>
      </w:r>
    </w:p>
    <w:p w14:paraId="66305819">
      <w:pPr>
        <w:pStyle w:val="2"/>
        <w:spacing w:line="360" w:lineRule="auto"/>
        <w:rPr>
          <w:rFonts w:hint="default" w:ascii="Times New Roman" w:hAnsi="Times New Roman" w:cs="Times New Roman"/>
          <w:b w:val="0"/>
          <w:bCs w:val="0"/>
          <w:color w:val="auto"/>
          <w:sz w:val="24"/>
          <w:szCs w:val="24"/>
        </w:rPr>
      </w:pPr>
      <w:bookmarkStart w:id="31" w:name="_Hlk220590967"/>
      <w:r>
        <w:rPr>
          <w:rFonts w:hint="default" w:ascii="Times New Roman" w:hAnsi="Times New Roman" w:cs="Times New Roman"/>
          <w:b w:val="0"/>
          <w:bCs w:val="0"/>
          <w:color w:val="auto"/>
          <w:sz w:val="24"/>
          <w:szCs w:val="24"/>
        </w:rPr>
        <w:t xml:space="preserve">Sağlık Bilimleri Fakültesi bünyesinde her yıl Kurum İç Değerlendirme, faaliyet raporu ile her bölümün araştırma performansları izlenmekte ve rapor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"https://kalite.ksu.edu.tr/default.aspx?DId=58473"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Bu raporlar fakülte ve üniversite bünyesinde web sitesinde ilan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"https://saglik.ksu.edu.tr/Default.aspx?SId=21691"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FTR bölümünde faaliyet raporları Fizyoterapi ve Rehabilitasyon bölümü Birim Kalite ve Faaliyet Raporu Komisyonu’nda görevli olan sorumlu öğretim elemanına iletilmektedir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.Bu kapsamda KIDR faaliyet raporu içerisinde bölüm web sayfasında ilan edilmektedir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"https://saglik.ksu.edu.tr/Default.aspx?SId=21693"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w:t>
      </w:r>
    </w:p>
    <w:bookmarkEnd w:id="31"/>
    <w:p w14:paraId="18F6514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3B27B81C">
      <w:pPr>
        <w:pStyle w:val="2"/>
        <w:spacing w:before="200" w:line="360" w:lineRule="auto"/>
        <w:rPr>
          <w:rFonts w:ascii="Times New Roman" w:hAnsi="Times New Roman" w:cs="Times New Roman"/>
          <w:color w:val="auto"/>
          <w:sz w:val="24"/>
          <w:szCs w:val="24"/>
        </w:rPr>
      </w:pPr>
      <w:r>
        <w:rPr>
          <w:rFonts w:ascii="Times New Roman" w:hAnsi="Times New Roman" w:cs="Times New Roman"/>
          <w:b w:val="0"/>
          <w:bCs w:val="0"/>
          <w:color w:val="000000"/>
          <w:sz w:val="24"/>
          <w:szCs w:val="24"/>
        </w:rPr>
        <w:t>Birimde araştırma performansı yayın, proje ve akademik faaliyetler üzerinden yıllık olarak izlenmekte; ancak izleme sonuçları sistematik bir değerlendirme süreciyle bütünleştirilerek kurumsal karar alma ve iyileştirme mekanizmalarına yeterince yansıtılmamaktadır.</w:t>
      </w:r>
      <w:bookmarkStart w:id="32" w:name="_qm4xk6odoaz8" w:colFirst="0" w:colLast="0"/>
      <w:bookmarkEnd w:id="32"/>
      <w:r>
        <w:rPr>
          <w:rFonts w:hint="default" w:ascii="Times New Roman" w:hAnsi="Times New Roman" w:cs="Times New Roman"/>
          <w:b w:val="0"/>
          <w:bCs w:val="0"/>
          <w:color w:val="000000"/>
          <w:sz w:val="24"/>
          <w:szCs w:val="24"/>
          <w:lang w:val="tr-TR"/>
        </w:rPr>
        <w:t xml:space="preserve"> </w:t>
      </w:r>
      <w:r>
        <w:rPr>
          <w:rFonts w:ascii="Times New Roman" w:hAnsi="Times New Roman" w:cs="Times New Roman"/>
          <w:b w:val="0"/>
          <w:bCs w:val="0"/>
          <w:color w:val="000000"/>
          <w:sz w:val="24"/>
          <w:szCs w:val="24"/>
        </w:rPr>
        <w:t>Araştırma faaliyetlerine ilişkin nicel veriler düzenli olarak toplanmakta ve bireysel akademik performanslar izlenmektedir</w:t>
      </w:r>
      <w:r>
        <w:fldChar w:fldCharType="begin"/>
      </w:r>
      <w:r>
        <w:instrText xml:space="preserve"> HYPERLINK "https://sbfebelik.ksu.edu.tr/Default.aspx?SId=7791"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"https://sbfebelik.ksu.edu.tr/Default.aspx?SId=7791"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p>
    <w:p w14:paraId="3CD7B073">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C.3.2. Öğretim elemanı/araştırmacı performansının değerlendirilmesi</w:t>
      </w:r>
    </w:p>
    <w:p w14:paraId="42FE978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099ECC12">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Öğretim elemanları araştırma performanslarını Üniversitemiz KSÜ VERSİS aracılığıyla paylaşmaktadır </w:t>
      </w:r>
      <w:r>
        <w:fldChar w:fldCharType="begin"/>
      </w:r>
      <w:r>
        <w:instrText xml:space="preserve"> HYPERLINK "https://versis.ksu.edu.tr/login.aspx"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r>
        <w:rPr>
          <w:rStyle w:val="20"/>
          <w:rFonts w:ascii="Times New Roman" w:hAnsi="Times New Roman" w:cs="Times New Roman"/>
          <w:color w:val="0000FF"/>
          <w:sz w:val="24"/>
          <w:szCs w:val="24"/>
        </w:rPr>
        <w:t xml:space="preserve"> </w:t>
      </w:r>
      <w:r>
        <w:rPr>
          <w:rStyle w:val="20"/>
          <w:rFonts w:ascii="Times New Roman" w:hAnsi="Times New Roman" w:cs="Times New Roman"/>
          <w:b w:val="0"/>
          <w:bCs w:val="0"/>
          <w:color w:val="auto"/>
          <w:sz w:val="24"/>
          <w:szCs w:val="24"/>
          <w:u w:val="none"/>
        </w:rPr>
        <w:t xml:space="preserve">Birim bazlı olarak verilerin yıllık olarak girilmesi sağlanmaktadır ve veri girişinin tamamlanması desteklenmektedir. </w:t>
      </w:r>
    </w:p>
    <w:p w14:paraId="2C0785FD">
      <w:pPr>
        <w:pStyle w:val="2"/>
        <w:spacing w:line="360" w:lineRule="auto"/>
        <w:rPr>
          <w:rFonts w:ascii="Times New Roman" w:hAnsi="Times New Roman" w:cs="Times New Roman"/>
          <w:sz w:val="24"/>
          <w:szCs w:val="24"/>
        </w:rPr>
      </w:pPr>
      <w:r>
        <w:rPr>
          <w:rStyle w:val="20"/>
          <w:rFonts w:ascii="Times New Roman" w:hAnsi="Times New Roman" w:cs="Times New Roman"/>
          <w:b w:val="0"/>
          <w:bCs w:val="0"/>
          <w:color w:val="auto"/>
          <w:sz w:val="24"/>
          <w:szCs w:val="24"/>
          <w:u w:val="none"/>
        </w:rPr>
        <w:t xml:space="preserve">Öğretim elemanlarının araştırma performansları yıl bazında izlenmektedir ancak değerlendirme politikaları bulunmamaktadır. Çıktılar/ortalama değerler şeffaf şekilde paylaşılmalıdır </w:t>
      </w:r>
      <w:r>
        <w:fldChar w:fldCharType="begin"/>
      </w:r>
      <w:r>
        <w:instrText xml:space="preserve"> HYPERLINK "https://saglik.ksu.edu.tr/Default.aspx?SId=21693" \h </w:instrText>
      </w:r>
      <w:r>
        <w:fldChar w:fldCharType="separate"/>
      </w:r>
      <w:r>
        <w:rPr>
          <w:rStyle w:val="20"/>
          <w:rFonts w:ascii="Times New Roman" w:hAnsi="Times New Roman" w:cs="Times New Roman"/>
          <w:color w:val="0000FF"/>
          <w:sz w:val="24"/>
          <w:szCs w:val="24"/>
        </w:rPr>
        <w:t>(OD3)</w:t>
      </w:r>
      <w:r>
        <w:rPr>
          <w:rStyle w:val="20"/>
          <w:rFonts w:ascii="Times New Roman" w:hAnsi="Times New Roman" w:cs="Times New Roman"/>
          <w:color w:val="0000FF"/>
          <w:sz w:val="24"/>
          <w:szCs w:val="24"/>
        </w:rPr>
        <w:fldChar w:fldCharType="end"/>
      </w:r>
    </w:p>
    <w:p w14:paraId="37ABFE46">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r>
        <w:rPr>
          <w:rFonts w:ascii="Times New Roman" w:hAnsi="Times New Roman" w:cs="Times New Roman"/>
          <w:b w:val="0"/>
          <w:bCs w:val="0"/>
          <w:color w:val="auto"/>
          <w:sz w:val="24"/>
          <w:szCs w:val="24"/>
        </w:rPr>
        <w:t>Öğretim elemanlarının araştırma yetkinliği, atama ve yükseltme kriterleri kapsamında belirlenen puanlama sistemi aracılığıyla izlenmekte ve değerlendirme sonuçları iyileştirme süreçlerinde kullanılmaktadır.</w:t>
      </w:r>
      <w:r>
        <w:rPr>
          <w:rFonts w:ascii="Times New Roman" w:hAnsi="Times New Roman" w:cs="Times New Roman"/>
          <w:color w:val="4472C4" w:themeColor="accent1"/>
          <w:sz w:val="24"/>
          <w:szCs w:val="24"/>
          <w:u w:val="single"/>
          <w14:textFill>
            <w14:solidFill>
              <w14:schemeClr w14:val="accent1"/>
            </w14:solidFill>
          </w14:textFill>
        </w:rPr>
        <w:t>(</w:t>
      </w:r>
      <w:r>
        <w:fldChar w:fldCharType="begin"/>
      </w:r>
      <w:r>
        <w:instrText xml:space="preserve"> HYPERLINK "https://personel.ksu.edu.tr/Default.aspx?SId=7582" \h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color w:val="4472C4" w:themeColor="accent1"/>
          <w:sz w:val="24"/>
          <w:szCs w:val="24"/>
          <w:u w:val="single"/>
          <w14:textFill>
            <w14:solidFill>
              <w14:schemeClr w14:val="accent1"/>
            </w14:solidFill>
          </w14:textFill>
        </w:rPr>
        <w:t xml:space="preserve">). </w:t>
      </w:r>
    </w:p>
    <w:p w14:paraId="3C07F78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45B33E0A">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Sağlık Bilimleri Fakültesi bünyesinde her yıl faaliyet raporu ile her bölümün araştırma performansları izlenmekte ve rapor edilmektedir </w:t>
      </w:r>
      <w:r>
        <w:fldChar w:fldCharType="begin"/>
      </w:r>
      <w:r>
        <w:instrText xml:space="preserve"> HYPERLINK "https://sbfftr.ksu.edu.tr/Default.aspx?SId=28306"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xml:space="preserve">. Bu raporlar fakülte bünyesinde web sitesinde ilan edilmektedir </w:t>
      </w:r>
      <w:r>
        <w:fldChar w:fldCharType="begin"/>
      </w:r>
      <w:r>
        <w:instrText xml:space="preserve"> HYPERLINK "https://saglik.ksu.edu.tr/Default.aspx?SId=21693" </w:instrText>
      </w:r>
      <w:r>
        <w:fldChar w:fldCharType="separate"/>
      </w:r>
      <w:r>
        <w:rPr>
          <w:rStyle w:val="20"/>
          <w:rFonts w:ascii="Times New Roman" w:hAnsi="Times New Roman" w:cs="Times New Roman"/>
          <w:b w:val="0"/>
          <w:bCs w:val="0"/>
          <w:color w:val="auto"/>
          <w:sz w:val="24"/>
          <w:szCs w:val="24"/>
        </w:rPr>
        <w:t>[OD3]</w:t>
      </w:r>
      <w:r>
        <w:rPr>
          <w:rStyle w:val="20"/>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p>
    <w:p w14:paraId="085FE253">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Bölüm öğretim elemanlarının 2024 yılı sürecinde çeşitli makaler, ulusal ya da uluslararası kitap bölümü, atıf ve proje çalışmaları olmuştur. Öğretim elemanlarının 2024 yılı süresince araştırma performansları bölüm akademik faaliyet raporunda belirtilmiştir</w:t>
      </w:r>
      <w:r>
        <w:rPr>
          <w:rFonts w:ascii="Times New Roman" w:hAnsi="Times New Roman" w:cs="Times New Roman"/>
          <w:b w:val="0"/>
          <w:bCs w:val="0"/>
          <w:color w:val="4472C4" w:themeColor="accent1"/>
          <w:sz w:val="24"/>
          <w:szCs w:val="24"/>
          <w14:textFill>
            <w14:solidFill>
              <w14:schemeClr w14:val="accent1"/>
            </w14:solidFill>
          </w14:textFill>
        </w:rPr>
        <w:t xml:space="preserve"> </w:t>
      </w:r>
      <w:r>
        <w:fldChar w:fldCharType="begin"/>
      </w:r>
      <w:r>
        <w:instrText xml:space="preserve"> HYPERLINK "https://sbfftr.ksu.edu.tr/Default.aspx?SId=28306"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w:t>
      </w:r>
    </w:p>
    <w:p w14:paraId="18AFB596">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55B2F9C4">
      <w:pPr>
        <w:pStyle w:val="2"/>
        <w:spacing w:before="200"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Öğretim elemanları araştırma performanslarını Üniversitemiz KSÜ VERSİS aracılığıyla paylaşmaktadır</w:t>
      </w:r>
      <w:r>
        <w:fldChar w:fldCharType="begin"/>
      </w:r>
      <w:r>
        <w:instrText xml:space="preserve"> HYPERLINK "https://versis.ksu.edu.tr/login.aspx"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"https://versis.ksu.edu.tr/login.aspx"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rPr>
        <w:t xml:space="preserve"> </w:t>
      </w:r>
      <w:r>
        <w:rPr>
          <w:rFonts w:ascii="Times New Roman" w:hAnsi="Times New Roman" w:cs="Times New Roman"/>
          <w:b w:val="0"/>
          <w:bCs w:val="0"/>
          <w:color w:val="000000"/>
          <w:sz w:val="24"/>
          <w:szCs w:val="24"/>
        </w:rPr>
        <w:t>Birim bazlı olarak verilerin yıllık olarak girilmesi sağlanmaktadır ve veri girişinin tamamlanması desteklenmektedir.</w:t>
      </w:r>
    </w:p>
    <w:p w14:paraId="4E24BED3">
      <w:pPr>
        <w:pStyle w:val="2"/>
        <w:spacing w:before="200" w:line="360" w:lineRule="auto"/>
        <w:rPr>
          <w:rFonts w:ascii="Times New Roman" w:hAnsi="Times New Roman" w:cs="Times New Roman"/>
          <w:color w:val="000000"/>
          <w:sz w:val="24"/>
          <w:szCs w:val="24"/>
          <w:u w:val="single"/>
        </w:rPr>
      </w:pPr>
      <w:bookmarkStart w:id="33" w:name="_46lwpvdkeb2k" w:colFirst="0" w:colLast="0"/>
      <w:bookmarkEnd w:id="33"/>
      <w:r>
        <w:rPr>
          <w:rFonts w:ascii="Times New Roman" w:hAnsi="Times New Roman" w:cs="Times New Roman"/>
          <w:b w:val="0"/>
          <w:bCs w:val="0"/>
          <w:color w:val="000000"/>
          <w:sz w:val="24"/>
          <w:szCs w:val="24"/>
        </w:rPr>
        <w:t>Öğretim elemanlarının araştırma performansları yıl bazında izlenmektedir ancak değerlendirme politikaları bulunmamaktadır. Çıktılar/ortalama değerler şeffaf şekilde paylaşılmalıdır</w:t>
      </w:r>
      <w:r>
        <w:fldChar w:fldCharType="begin"/>
      </w:r>
      <w:r>
        <w:instrText xml:space="preserve"> HYPERLINK "https://saglik.ksu.edu.tr/Default.aspx?SId=21693" \h </w:instrText>
      </w:r>
      <w:r>
        <w:fldChar w:fldCharType="separate"/>
      </w:r>
      <w:r>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fldChar w:fldCharType="end"/>
      </w:r>
      <w:r>
        <w:fldChar w:fldCharType="begin"/>
      </w:r>
      <w:r>
        <w:instrText xml:space="preserve"> HYPERLINK "https://saglik.ksu.edu.tr/Default.aspx?SId=21693"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u w:val="single"/>
        </w:rPr>
        <w:t>.</w:t>
      </w:r>
    </w:p>
    <w:p w14:paraId="72B990B2">
      <w:pPr>
        <w:pStyle w:val="2"/>
        <w:spacing w:before="200" w:line="360" w:lineRule="auto"/>
        <w:rPr>
          <w:rFonts w:ascii="Times New Roman" w:hAnsi="Times New Roman" w:cs="Times New Roman"/>
          <w:color w:val="000000"/>
          <w:sz w:val="24"/>
          <w:szCs w:val="24"/>
          <w:u w:val="single"/>
        </w:rPr>
      </w:pPr>
      <w:bookmarkStart w:id="34" w:name="_mc8s00rj6vgy" w:colFirst="0" w:colLast="0"/>
      <w:bookmarkEnd w:id="34"/>
      <w:r>
        <w:rPr>
          <w:rFonts w:ascii="Times New Roman" w:hAnsi="Times New Roman" w:cs="Times New Roman"/>
          <w:b w:val="0"/>
          <w:bCs w:val="0"/>
          <w:color w:val="000000"/>
          <w:sz w:val="24"/>
          <w:szCs w:val="24"/>
        </w:rPr>
        <w:t xml:space="preserve">Öğretim elemanlarının araştırma yetkinliği, atama ve yükseltme kriterleri kapsamında belirlenen puanlama sistemi aracılığıyla izlenmekte ve değerlendirme sonuçları iyileştirme süreçlerinde kullanılmaktadır </w:t>
      </w:r>
      <w:r>
        <w:rPr>
          <w:rFonts w:ascii="Times New Roman" w:hAnsi="Times New Roman" w:cs="Times New Roman"/>
          <w:color w:val="000000"/>
          <w:sz w:val="24"/>
          <w:szCs w:val="24"/>
          <w:u w:val="single"/>
        </w:rPr>
        <w:t>(</w:t>
      </w:r>
      <w:r>
        <w:fldChar w:fldCharType="begin"/>
      </w:r>
      <w:r>
        <w:instrText xml:space="preserve"> HYPERLINK "https://personel.ksu.edu.tr/Default.aspx?SId=7582"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u w:val="single"/>
        </w:rPr>
        <w:t xml:space="preserve">). </w:t>
      </w:r>
    </w:p>
    <w:p w14:paraId="2E5D0E69">
      <w:pPr>
        <w:pStyle w:val="2"/>
        <w:spacing w:line="360" w:lineRule="auto"/>
        <w:rPr>
          <w:rFonts w:ascii="Times New Roman" w:hAnsi="Times New Roman" w:cs="Times New Roman"/>
          <w:color w:val="auto"/>
          <w:sz w:val="24"/>
          <w:szCs w:val="24"/>
        </w:rPr>
      </w:pPr>
    </w:p>
    <w:p w14:paraId="7A8251C9">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50C17810">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79AE2625">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277BDE9F">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7B2450F4">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072124A2">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6E3E1222">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r>
        <w:rPr>
          <w:rFonts w:ascii="Times New Roman" w:hAnsi="Times New Roman" w:cs="Times New Roman"/>
          <w:color w:val="4472C4" w:themeColor="accent1"/>
          <w:sz w:val="24"/>
          <w:szCs w:val="24"/>
          <w:u w:val="single"/>
          <w14:textFill>
            <w14:solidFill>
              <w14:schemeClr w14:val="accent1"/>
            </w14:solidFill>
          </w14:textFill>
        </w:rPr>
        <w:t>C. ARAŞTIRMA GELİŞTİRME SAĞLIK BİLİMLERİ FAKÜLTESİ OLGUNLUK DÜZEYİ</w:t>
      </w:r>
    </w:p>
    <w:tbl>
      <w:tblPr>
        <w:tblStyle w:val="9"/>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5655"/>
        <w:gridCol w:w="2970"/>
      </w:tblGrid>
      <w:tr w14:paraId="44243FC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E4A8628">
            <w:pPr>
              <w:jc w:val="center"/>
              <w:rPr>
                <w:rFonts w:ascii="Times New Roman" w:hAnsi="Times New Roman" w:eastAsia="Times New Roman" w:cs="Times New Roman"/>
                <w:sz w:val="24"/>
                <w:szCs w:val="24"/>
              </w:rPr>
            </w:pPr>
          </w:p>
        </w:tc>
        <w:tc>
          <w:tcPr>
            <w:tcW w:w="2970" w:type="dxa"/>
            <w:tcBorders>
              <w:top w:val="single" w:color="auto" w:sz="8" w:space="0"/>
              <w:left w:val="single" w:color="auto" w:sz="8" w:space="0"/>
              <w:bottom w:val="single" w:color="auto" w:sz="8" w:space="0"/>
              <w:right w:val="single" w:color="auto" w:sz="8" w:space="0"/>
            </w:tcBorders>
          </w:tcPr>
          <w:p w14:paraId="6C098445">
            <w:pPr>
              <w:jc w:val="center"/>
              <w:rPr>
                <w:rFonts w:ascii="Times New Roman" w:hAnsi="Times New Roman" w:cs="Times New Roman"/>
                <w:sz w:val="24"/>
                <w:szCs w:val="24"/>
              </w:rPr>
            </w:pPr>
            <w:r>
              <w:rPr>
                <w:rFonts w:ascii="Times New Roman" w:hAnsi="Times New Roman" w:eastAsia="Times New Roman" w:cs="Times New Roman"/>
                <w:b/>
                <w:bCs/>
                <w:sz w:val="24"/>
                <w:szCs w:val="24"/>
              </w:rPr>
              <w:t>Olgunluk Düzeyi</w:t>
            </w:r>
            <w:r>
              <w:rPr>
                <w:rFonts w:ascii="Times New Roman" w:hAnsi="Times New Roman" w:eastAsia="Times New Roman" w:cs="Times New Roman"/>
                <w:sz w:val="24"/>
                <w:szCs w:val="24"/>
              </w:rPr>
              <w:t xml:space="preserve"> </w:t>
            </w:r>
          </w:p>
        </w:tc>
      </w:tr>
      <w:tr w14:paraId="6FD66DF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3DB09BAD">
            <w:pPr>
              <w:pStyle w:val="2"/>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C.1. Araştırma Süreçlerinin Yönetimi ve Araştırma Kaynakları</w:t>
            </w:r>
          </w:p>
          <w:p w14:paraId="3B510D85">
            <w:pPr>
              <w:pStyle w:val="3"/>
              <w:spacing w:line="360" w:lineRule="auto"/>
              <w:rPr>
                <w:rFonts w:ascii="Times New Roman" w:hAnsi="Times New Roman" w:cs="Times New Roman"/>
                <w:szCs w:val="24"/>
                <w:highlight w:val="none"/>
              </w:rPr>
            </w:pPr>
          </w:p>
        </w:tc>
        <w:tc>
          <w:tcPr>
            <w:tcW w:w="297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2F8080B5">
            <w:pPr>
              <w:rPr>
                <w:rFonts w:ascii="Times New Roman" w:hAnsi="Times New Roman" w:cs="Times New Roman"/>
                <w:sz w:val="24"/>
                <w:szCs w:val="24"/>
                <w:highlight w:val="none"/>
              </w:rPr>
            </w:pPr>
            <w:r>
              <w:rPr>
                <w:rFonts w:ascii="Times New Roman" w:hAnsi="Times New Roman" w:eastAsia="Times New Roman" w:cs="Times New Roman"/>
                <w:sz w:val="24"/>
                <w:szCs w:val="24"/>
                <w:highlight w:val="none"/>
              </w:rPr>
              <w:t xml:space="preserve">  </w:t>
            </w:r>
          </w:p>
        </w:tc>
      </w:tr>
      <w:tr w14:paraId="6D72AC0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04601F0">
            <w:pPr>
              <w:spacing w:line="36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 xml:space="preserve">C.1.1. </w:t>
            </w:r>
            <w:r>
              <w:rPr>
                <w:rFonts w:ascii="Times New Roman" w:hAnsi="Times New Roman" w:cs="Times New Roman"/>
                <w:sz w:val="24"/>
                <w:szCs w:val="24"/>
                <w:highlight w:val="none"/>
              </w:rPr>
              <w:t>Araştırma süreçlerinin yönetimi</w:t>
            </w:r>
          </w:p>
        </w:tc>
        <w:tc>
          <w:tcPr>
            <w:tcW w:w="2970" w:type="dxa"/>
            <w:tcBorders>
              <w:top w:val="single" w:color="auto" w:sz="8" w:space="0"/>
              <w:left w:val="single" w:color="auto" w:sz="8" w:space="0"/>
              <w:bottom w:val="single" w:color="auto" w:sz="8" w:space="0"/>
              <w:right w:val="single" w:color="auto" w:sz="8" w:space="0"/>
            </w:tcBorders>
          </w:tcPr>
          <w:p w14:paraId="68C5203D">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3</w:t>
            </w:r>
          </w:p>
        </w:tc>
      </w:tr>
      <w:tr w14:paraId="279BC76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33DBF7C">
            <w:pPr>
              <w:spacing w:line="36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 xml:space="preserve">C.1.2. </w:t>
            </w:r>
            <w:r>
              <w:rPr>
                <w:rFonts w:ascii="Times New Roman" w:hAnsi="Times New Roman" w:cs="Times New Roman"/>
                <w:sz w:val="24"/>
                <w:szCs w:val="24"/>
                <w:highlight w:val="none"/>
              </w:rPr>
              <w:t>İç ve dış kaynaklar</w:t>
            </w:r>
          </w:p>
        </w:tc>
        <w:tc>
          <w:tcPr>
            <w:tcW w:w="2970" w:type="dxa"/>
            <w:tcBorders>
              <w:top w:val="single" w:color="auto" w:sz="8" w:space="0"/>
              <w:left w:val="single" w:color="auto" w:sz="8" w:space="0"/>
              <w:bottom w:val="single" w:color="auto" w:sz="8" w:space="0"/>
              <w:right w:val="single" w:color="auto" w:sz="8" w:space="0"/>
            </w:tcBorders>
          </w:tcPr>
          <w:p w14:paraId="52E7F480">
            <w:pPr>
              <w:jc w:val="center"/>
              <w:rPr>
                <w:rFonts w:ascii="Times New Roman" w:hAnsi="Times New Roman" w:cs="Times New Roman"/>
                <w:sz w:val="24"/>
                <w:szCs w:val="24"/>
                <w:highlight w:val="none"/>
              </w:rPr>
            </w:pPr>
            <w:r>
              <w:rPr>
                <w:rFonts w:ascii="Times New Roman" w:hAnsi="Times New Roman" w:cs="Times New Roman"/>
                <w:sz w:val="24"/>
                <w:szCs w:val="24"/>
                <w:highlight w:val="none"/>
              </w:rPr>
              <w:t>3</w:t>
            </w:r>
          </w:p>
        </w:tc>
      </w:tr>
      <w:tr w14:paraId="012DAA8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E3D0898">
            <w:pPr>
              <w:spacing w:line="360" w:lineRule="auto"/>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C.1.3  Doktora programları ve doktora sonrası imkanlar</w:t>
            </w:r>
          </w:p>
        </w:tc>
        <w:tc>
          <w:tcPr>
            <w:tcW w:w="2970" w:type="dxa"/>
            <w:tcBorders>
              <w:top w:val="single" w:color="auto" w:sz="8" w:space="0"/>
              <w:left w:val="single" w:color="auto" w:sz="8" w:space="0"/>
              <w:bottom w:val="single" w:color="auto" w:sz="8" w:space="0"/>
              <w:right w:val="single" w:color="auto" w:sz="8" w:space="0"/>
            </w:tcBorders>
          </w:tcPr>
          <w:p w14:paraId="267F6AB7">
            <w:pPr>
              <w:jc w:val="center"/>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1</w:t>
            </w:r>
          </w:p>
        </w:tc>
      </w:tr>
      <w:tr w14:paraId="73838FF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4FF2B6EF">
            <w:pPr>
              <w:spacing w:line="360" w:lineRule="auto"/>
              <w:jc w:val="both"/>
              <w:rPr>
                <w:rFonts w:ascii="Times New Roman" w:hAnsi="Times New Roman" w:eastAsia="Times New Roman" w:cs="Times New Roman"/>
                <w:b/>
                <w:bCs/>
                <w:sz w:val="24"/>
                <w:szCs w:val="24"/>
                <w:highlight w:val="none"/>
              </w:rPr>
            </w:pPr>
            <w:r>
              <w:rPr>
                <w:rFonts w:ascii="Times New Roman" w:hAnsi="Times New Roman" w:eastAsia="Times New Roman" w:cs="Times New Roman"/>
                <w:b/>
                <w:bCs/>
                <w:sz w:val="24"/>
                <w:szCs w:val="24"/>
                <w:highlight w:val="none"/>
              </w:rPr>
              <w:t xml:space="preserve">C.2. </w:t>
            </w:r>
            <w:r>
              <w:rPr>
                <w:rFonts w:ascii="Times New Roman" w:hAnsi="Times New Roman" w:cs="Times New Roman"/>
                <w:b/>
                <w:bCs/>
                <w:sz w:val="24"/>
                <w:szCs w:val="24"/>
                <w:highlight w:val="none"/>
              </w:rPr>
              <w:t>Araştırma Yetkinliği, İş birlikleri ve Destekler</w:t>
            </w:r>
          </w:p>
        </w:tc>
        <w:tc>
          <w:tcPr>
            <w:tcW w:w="297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2D60BEC6">
            <w:pPr>
              <w:jc w:val="center"/>
              <w:rPr>
                <w:rFonts w:ascii="Times New Roman" w:hAnsi="Times New Roman" w:cs="Times New Roman"/>
                <w:sz w:val="24"/>
                <w:szCs w:val="24"/>
                <w:highlight w:val="none"/>
              </w:rPr>
            </w:pPr>
          </w:p>
        </w:tc>
      </w:tr>
      <w:tr w14:paraId="0507298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1936CF00">
            <w:pPr>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C.2.1.</w:t>
            </w:r>
            <w:r>
              <w:rPr>
                <w:rFonts w:ascii="Times New Roman" w:hAnsi="Times New Roman" w:cs="Times New Roman"/>
                <w:sz w:val="24"/>
                <w:szCs w:val="24"/>
                <w:highlight w:val="none"/>
              </w:rPr>
              <w:t xml:space="preserve"> Araştırma yetkinlikleri ve gelişimi</w:t>
            </w:r>
          </w:p>
        </w:tc>
        <w:tc>
          <w:tcPr>
            <w:tcW w:w="2970" w:type="dxa"/>
            <w:tcBorders>
              <w:top w:val="single" w:color="auto" w:sz="8" w:space="0"/>
              <w:left w:val="single" w:color="auto" w:sz="8" w:space="0"/>
              <w:bottom w:val="single" w:color="auto" w:sz="8" w:space="0"/>
              <w:right w:val="single" w:color="auto" w:sz="8" w:space="0"/>
            </w:tcBorders>
          </w:tcPr>
          <w:p w14:paraId="66AFE593">
            <w:pPr>
              <w:jc w:val="center"/>
              <w:rPr>
                <w:rFonts w:hint="default" w:ascii="Times New Roman" w:hAnsi="Times New Roman" w:eastAsia="Times New Roman" w:cs="Times New Roman"/>
                <w:sz w:val="24"/>
                <w:szCs w:val="24"/>
                <w:highlight w:val="none"/>
                <w:lang w:val="tr-TR"/>
              </w:rPr>
            </w:pPr>
            <w:r>
              <w:rPr>
                <w:rFonts w:hint="default" w:ascii="Times New Roman" w:hAnsi="Times New Roman" w:eastAsia="Times New Roman" w:cs="Times New Roman"/>
                <w:sz w:val="24"/>
                <w:szCs w:val="24"/>
                <w:highlight w:val="none"/>
                <w:lang w:val="tr-TR"/>
              </w:rPr>
              <w:t>4</w:t>
            </w:r>
          </w:p>
        </w:tc>
      </w:tr>
      <w:tr w14:paraId="686075D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7ED19DF9">
            <w:pPr>
              <w:pStyle w:val="2"/>
              <w:spacing w:line="360" w:lineRule="auto"/>
              <w:rPr>
                <w:rFonts w:ascii="Times New Roman" w:hAnsi="Times New Roman" w:cs="Times New Roman"/>
                <w:color w:val="auto"/>
                <w:sz w:val="24"/>
                <w:szCs w:val="24"/>
                <w:highlight w:val="none"/>
              </w:rPr>
            </w:pPr>
            <w:r>
              <w:rPr>
                <w:rFonts w:ascii="Times New Roman" w:hAnsi="Times New Roman" w:cs="Times New Roman"/>
                <w:b w:val="0"/>
                <w:bCs w:val="0"/>
                <w:color w:val="auto"/>
                <w:sz w:val="24"/>
                <w:szCs w:val="24"/>
                <w:highlight w:val="none"/>
              </w:rPr>
              <w:t>C.2.2.</w:t>
            </w:r>
            <w:r>
              <w:rPr>
                <w:rFonts w:ascii="Times New Roman" w:hAnsi="Times New Roman" w:cs="Times New Roman"/>
                <w:color w:val="auto"/>
                <w:sz w:val="24"/>
                <w:szCs w:val="24"/>
                <w:highlight w:val="none"/>
              </w:rPr>
              <w:t xml:space="preserve"> </w:t>
            </w:r>
            <w:r>
              <w:rPr>
                <w:rFonts w:ascii="Times New Roman" w:hAnsi="Times New Roman" w:cs="Times New Roman"/>
                <w:b w:val="0"/>
                <w:bCs w:val="0"/>
                <w:color w:val="auto"/>
                <w:sz w:val="24"/>
                <w:szCs w:val="24"/>
                <w:highlight w:val="none"/>
              </w:rPr>
              <w:t>Ulusal ve uluslararası ortak programlar ve ortak araştırma birimleri</w:t>
            </w:r>
          </w:p>
        </w:tc>
        <w:tc>
          <w:tcPr>
            <w:tcW w:w="2970" w:type="dxa"/>
            <w:tcBorders>
              <w:top w:val="single" w:color="auto" w:sz="8" w:space="0"/>
              <w:left w:val="single" w:color="auto" w:sz="8" w:space="0"/>
              <w:bottom w:val="single" w:color="auto" w:sz="8" w:space="0"/>
              <w:right w:val="single" w:color="auto" w:sz="8" w:space="0"/>
            </w:tcBorders>
          </w:tcPr>
          <w:p w14:paraId="4AA6498D">
            <w:pPr>
              <w:jc w:val="center"/>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1</w:t>
            </w:r>
          </w:p>
        </w:tc>
      </w:tr>
      <w:tr w14:paraId="50C1A05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5796C912">
            <w:pPr>
              <w:pStyle w:val="2"/>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C.3. Araştırma Performansı</w:t>
            </w:r>
          </w:p>
        </w:tc>
        <w:tc>
          <w:tcPr>
            <w:tcW w:w="2970" w:type="dxa"/>
            <w:tcBorders>
              <w:top w:val="single" w:color="auto" w:sz="8" w:space="0"/>
              <w:left w:val="single" w:color="auto" w:sz="8" w:space="0"/>
              <w:bottom w:val="single" w:color="auto" w:sz="8" w:space="0"/>
              <w:right w:val="single" w:color="auto" w:sz="8" w:space="0"/>
            </w:tcBorders>
          </w:tcPr>
          <w:p w14:paraId="4EACA84E">
            <w:pPr>
              <w:jc w:val="center"/>
              <w:rPr>
                <w:rFonts w:ascii="Times New Roman" w:hAnsi="Times New Roman" w:eastAsia="Times New Roman" w:cs="Times New Roman"/>
                <w:sz w:val="24"/>
                <w:szCs w:val="24"/>
                <w:highlight w:val="none"/>
              </w:rPr>
            </w:pPr>
          </w:p>
        </w:tc>
      </w:tr>
      <w:tr w14:paraId="2A9674C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2F30E194">
            <w:pPr>
              <w:pStyle w:val="2"/>
              <w:spacing w:line="360" w:lineRule="auto"/>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C.3.1. Araştırma performansının izlenmesi ve değerlendirilmesi</w:t>
            </w:r>
          </w:p>
        </w:tc>
        <w:tc>
          <w:tcPr>
            <w:tcW w:w="2970" w:type="dxa"/>
            <w:tcBorders>
              <w:top w:val="single" w:color="auto" w:sz="8" w:space="0"/>
              <w:left w:val="single" w:color="auto" w:sz="8" w:space="0"/>
              <w:bottom w:val="single" w:color="auto" w:sz="8" w:space="0"/>
              <w:right w:val="single" w:color="auto" w:sz="8" w:space="0"/>
            </w:tcBorders>
          </w:tcPr>
          <w:p w14:paraId="014AB88C">
            <w:pPr>
              <w:jc w:val="center"/>
              <w:rPr>
                <w:rFonts w:hint="default" w:ascii="Times New Roman" w:hAnsi="Times New Roman" w:eastAsia="Times New Roman" w:cs="Times New Roman"/>
                <w:sz w:val="24"/>
                <w:szCs w:val="24"/>
                <w:highlight w:val="none"/>
                <w:lang w:val="tr-TR"/>
              </w:rPr>
            </w:pPr>
            <w:r>
              <w:rPr>
                <w:rFonts w:hint="default" w:ascii="Times New Roman" w:hAnsi="Times New Roman" w:eastAsia="Times New Roman" w:cs="Times New Roman"/>
                <w:sz w:val="24"/>
                <w:szCs w:val="24"/>
                <w:highlight w:val="none"/>
                <w:lang w:val="tr-TR"/>
              </w:rPr>
              <w:t>4</w:t>
            </w:r>
          </w:p>
        </w:tc>
      </w:tr>
      <w:tr w14:paraId="02EAF80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655" w:type="dxa"/>
            <w:tcBorders>
              <w:top w:val="single" w:color="auto" w:sz="8" w:space="0"/>
              <w:left w:val="single" w:color="auto" w:sz="8" w:space="0"/>
              <w:bottom w:val="single" w:color="auto" w:sz="8" w:space="0"/>
              <w:right w:val="single" w:color="auto" w:sz="8" w:space="0"/>
            </w:tcBorders>
          </w:tcPr>
          <w:p w14:paraId="690BC12D">
            <w:pPr>
              <w:pStyle w:val="2"/>
              <w:spacing w:line="360" w:lineRule="auto"/>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C.3.2. Öğretim elemanı/araştırmacı performansının değerlendirilmesi</w:t>
            </w:r>
          </w:p>
        </w:tc>
        <w:tc>
          <w:tcPr>
            <w:tcW w:w="2970" w:type="dxa"/>
            <w:tcBorders>
              <w:top w:val="single" w:color="auto" w:sz="8" w:space="0"/>
              <w:left w:val="single" w:color="auto" w:sz="8" w:space="0"/>
              <w:bottom w:val="single" w:color="auto" w:sz="8" w:space="0"/>
              <w:right w:val="single" w:color="auto" w:sz="8" w:space="0"/>
            </w:tcBorders>
          </w:tcPr>
          <w:p w14:paraId="02FEC57D">
            <w:pPr>
              <w:jc w:val="center"/>
              <w:rPr>
                <w:rFonts w:hint="default" w:ascii="Times New Roman" w:hAnsi="Times New Roman" w:eastAsia="Times New Roman" w:cs="Times New Roman"/>
                <w:sz w:val="24"/>
                <w:szCs w:val="24"/>
                <w:highlight w:val="none"/>
                <w:lang w:val="tr-TR"/>
              </w:rPr>
            </w:pPr>
            <w:r>
              <w:rPr>
                <w:rFonts w:hint="default" w:ascii="Times New Roman" w:hAnsi="Times New Roman" w:eastAsia="Times New Roman" w:cs="Times New Roman"/>
                <w:sz w:val="24"/>
                <w:szCs w:val="24"/>
                <w:highlight w:val="none"/>
                <w:lang w:val="tr-TR"/>
              </w:rPr>
              <w:t>4</w:t>
            </w:r>
          </w:p>
        </w:tc>
      </w:tr>
    </w:tbl>
    <w:p w14:paraId="6E74A9E4">
      <w:pPr>
        <w:pStyle w:val="2"/>
        <w:spacing w:line="360" w:lineRule="auto"/>
        <w:rPr>
          <w:rFonts w:ascii="Times New Roman" w:hAnsi="Times New Roman" w:cs="Times New Roman"/>
          <w:color w:val="FF0000"/>
          <w:sz w:val="28"/>
          <w:szCs w:val="24"/>
        </w:rPr>
      </w:pPr>
      <w:r>
        <w:rPr>
          <w:rFonts w:ascii="Times New Roman" w:hAnsi="Times New Roman" w:cs="Times New Roman"/>
          <w:color w:val="FF0000"/>
          <w:sz w:val="28"/>
          <w:szCs w:val="24"/>
        </w:rPr>
        <w:t>D. TOPLUMSAL KATKI</w:t>
      </w:r>
    </w:p>
    <w:p w14:paraId="38894186">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KSÜ 2023-2027 Stratejik Planında “Bölge insanı başta olmak üzere insanlığın sağlık, huzur ve mutluluğuna katkı sunacak sosyal, kültürel, çevresel ve teknolojik alanlarda nitelikli toplumsal katkı faaliyetlerinde bulunmak” amaçlanmıştır (</w:t>
      </w:r>
      <w:r>
        <w:fldChar w:fldCharType="begin"/>
      </w:r>
      <w:r>
        <w:instrText xml:space="preserve"> HYPERLINK "https://kalite.ksu.edu.tr/depo/belgeler/KS%C3%9C%202023-2027%20Stratejik%20Plan%20web_2301101407282920.pdf" \h </w:instrText>
      </w:r>
      <w:r>
        <w:fldChar w:fldCharType="separate"/>
      </w:r>
      <w:r>
        <w:rPr>
          <w:rFonts w:ascii="Times New Roman" w:hAnsi="Times New Roman" w:cs="Times New Roman"/>
          <w:color w:val="000000"/>
          <w:sz w:val="24"/>
          <w:szCs w:val="24"/>
          <w:u w:val="single"/>
        </w:rPr>
        <w:t>OD3</w:t>
      </w:r>
      <w:r>
        <w:rPr>
          <w:rFonts w:ascii="Times New Roman" w:hAnsi="Times New Roman" w:cs="Times New Roman"/>
          <w:color w:val="000000"/>
          <w:sz w:val="24"/>
          <w:szCs w:val="24"/>
          <w:u w:val="single"/>
        </w:rPr>
        <w:fldChar w:fldCharType="end"/>
      </w:r>
      <w:r>
        <w:rPr>
          <w:rFonts w:ascii="Times New Roman" w:hAnsi="Times New Roman" w:cs="Times New Roman"/>
          <w:color w:val="000000"/>
          <w:sz w:val="24"/>
          <w:szCs w:val="24"/>
          <w:u w:val="single"/>
        </w:rPr>
        <w:t xml:space="preserve">). </w:t>
      </w:r>
      <w:r>
        <w:rPr>
          <w:rFonts w:ascii="Times New Roman" w:hAnsi="Times New Roman" w:cs="Times New Roman"/>
          <w:b w:val="0"/>
          <w:bCs w:val="0"/>
          <w:color w:val="auto"/>
          <w:sz w:val="24"/>
          <w:szCs w:val="22"/>
        </w:rPr>
        <w:t xml:space="preserve">Bu kapsamda Üniversitemizin hedefleri; </w:t>
      </w:r>
    </w:p>
    <w:p w14:paraId="11741BC2">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 xml:space="preserve">H1: Hayat boyu öğrenme kapsamında bölge halkının tüm kesiminin ihtiyaçlarına yönelik katkı sunmak. </w:t>
      </w:r>
    </w:p>
    <w:p w14:paraId="3F71B244">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 xml:space="preserve">H2: Üniversitede hem geleneksel tıp hem de ileri e-sağlık dönüşümü ile topluma sağlık hizmetlerinin daha verimli şekilde sunulmasını sağlamak </w:t>
      </w:r>
    </w:p>
    <w:p w14:paraId="6E9C53CB">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 xml:space="preserve">H3: Toplumsal katkı sağlamaya yönelik kamu kurumları ve STK’lar ile işbirliğinin geliştirilmesi </w:t>
      </w:r>
    </w:p>
    <w:p w14:paraId="17708D8C">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 xml:space="preserve">H4: Toplumun/bölgenin kültürel değerlerinin tanıtımı ve geliştirilmesi yoluyla şehrin imajına katkı sağlamak </w:t>
      </w:r>
    </w:p>
    <w:p w14:paraId="47BC5474">
      <w:pPr>
        <w:pStyle w:val="2"/>
        <w:spacing w:line="360" w:lineRule="auto"/>
        <w:rPr>
          <w:rFonts w:ascii="Times New Roman" w:hAnsi="Times New Roman" w:cs="Times New Roman"/>
          <w:b w:val="0"/>
          <w:bCs w:val="0"/>
          <w:color w:val="auto"/>
          <w:sz w:val="24"/>
          <w:szCs w:val="22"/>
        </w:rPr>
      </w:pPr>
      <w:r>
        <w:rPr>
          <w:rFonts w:ascii="Times New Roman" w:hAnsi="Times New Roman" w:cs="Times New Roman"/>
          <w:b w:val="0"/>
          <w:bCs w:val="0"/>
          <w:color w:val="auto"/>
          <w:sz w:val="24"/>
          <w:szCs w:val="22"/>
        </w:rPr>
        <w:t>H5: Özel sektöre bilimsel danışmanlık hizmetleri vermek</w:t>
      </w:r>
    </w:p>
    <w:p w14:paraId="30B2D522">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D.1. Toplumsal Katkı Süreçlerinin Yönetimi ve Toplumsal Katkı Kaynakları</w:t>
      </w:r>
    </w:p>
    <w:p w14:paraId="413FC9A9">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D.1.1. Toplumsal katkı süreçlerinin yönetimi</w:t>
      </w:r>
    </w:p>
    <w:p w14:paraId="46ECBCD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5DBC6F96">
      <w:pPr>
        <w:pStyle w:val="2"/>
        <w:spacing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Bölümümüzde, eğitim-öğretim ve araştırma faaliyetlerinin yanı sıra toplumsal kalkınmaya katkı sunma sorumluluğunu da üstlenmektedir. Bu kapsamda toplumsal katkı süreçlerinin planlı, sistematik ve sürdürülebilir biçimde yönetilmesi; bölümümüzün bilgi, insan kaynağı ve altyapı potansiyelinin toplum yararına etkin kullanımını sağlamaktadır. Bu kapsamda bölümümüzün Toplumsal Katkı Politikası oluşturulmuştur. (</w:t>
      </w:r>
      <w:r>
        <w:fldChar w:fldCharType="begin"/>
      </w:r>
      <w:r>
        <w:instrText xml:space="preserve"> HYPERLINK "https://sbfhemsirelik.ksu.edu.tr/depo/belgeler/5.TOPLUMSAL%20KATKI%20POL%C4%B0T%C4%B0KASI_2503191202373628.pdf"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w:t>
      </w:r>
    </w:p>
    <w:p w14:paraId="02C237C9">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7F73D9B8">
      <w:pPr>
        <w:spacing w:after="160" w:line="360" w:lineRule="auto"/>
        <w:jc w:val="both"/>
        <w:rPr>
          <w:rFonts w:ascii="Times New Roman" w:hAnsi="Times New Roman" w:cs="Times New Roman"/>
          <w:sz w:val="24"/>
          <w:szCs w:val="24"/>
        </w:rPr>
      </w:pPr>
      <w:r>
        <w:rPr>
          <w:rFonts w:hint="default" w:ascii="Times New Roman" w:hAnsi="Times New Roman" w:cs="Times New Roman"/>
          <w:b w:val="0"/>
          <w:bCs w:val="0"/>
          <w:color w:val="auto"/>
          <w:sz w:val="24"/>
          <w:szCs w:val="24"/>
        </w:rPr>
        <w:t xml:space="preserve">Sağlık Bilimleri Fakültesi kararıyla bölüm bünyemizde 3 öğretim üyemiz Bilimsel /Sosyal ve Kültürel Faaliyetler Komisyonu’nda görevlendirilmiştir. FTR öğrencilerinin katılımıyla üniversite öğrenci topluluğunun oluşturulması planlanmaktadır. Bu kapsamda “Engelsiz ve sağlıklı yaşam” “Toplum temelli rehabilitasyon” “Halk sağlığında Fizyoterapi” ve öğrencilerimizin meslek farkındalığını arttırmaya yönelik kariyer günleri gibi çeşitli farkındalık sağlayacak etkinliklerin yapılması hedeflenmektedir. Bunun yanısıra FTR bölüm bünyesinde 08.04.2025 yılında Beyaz önlük giyme töreni ve Fizyoterapitler günü kutlanmıştır. Ayrıca, bu tarihte Rektörümüz tarafından kariyer bilgilendirmesi yapılmıştır </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"https://sbfftr.ksu.edu.tr/Default.aspx?DId=89432" </w:instrText>
      </w:r>
      <w:r>
        <w:rPr>
          <w:rFonts w:hint="default" w:ascii="Times New Roman" w:hAnsi="Times New Roman" w:cs="Times New Roman"/>
          <w:b w:val="0"/>
          <w:bCs w:val="0"/>
          <w:color w:val="auto"/>
          <w:sz w:val="24"/>
          <w:szCs w:val="24"/>
        </w:rPr>
        <w:fldChar w:fldCharType="separate"/>
      </w:r>
      <w:r>
        <w:rPr>
          <w:rStyle w:val="20"/>
          <w:rFonts w:hint="default" w:ascii="Times New Roman" w:hAnsi="Times New Roman" w:cs="Times New Roman"/>
          <w:b w:val="0"/>
          <w:bCs w:val="0"/>
          <w:color w:val="auto"/>
          <w:sz w:val="24"/>
          <w:szCs w:val="24"/>
        </w:rPr>
        <w:t>[OD3]</w:t>
      </w:r>
      <w:r>
        <w:rPr>
          <w:rStyle w:val="20"/>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 xml:space="preserve">. Bu kapsamda öğrenci talep ve memnuniyetleri doğrultusunda yeni etkinlikler düzenlenmektedir. 2025-2026 yılına ait tüm etkinlikler web sitemizde duyurulmaktadır ve web sitesinde bulunan akademik faaliyet raporunda özetlenmiştir. 2025-2026 Güz döneminde ise 15.05.2025 tarihinde Fizyoterapi ve Rehabilitasyon Bölümüne ait FizyoYaşam Topluluğunun düzenlediği ve tüm fakültemizle bölüm öğrencilerinin ve akademisyenlerin katıldığı ‘Skolyozda Güncel Yaklaşımlar’ başlıklı sempozyum düzenlenmiştir </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"https://sbfftr.ksu.edu.tr/default.aspx?DId=91742" </w:instrText>
      </w:r>
      <w:r>
        <w:rPr>
          <w:rFonts w:hint="default" w:ascii="Times New Roman" w:hAnsi="Times New Roman" w:cs="Times New Roman"/>
          <w:b w:val="0"/>
          <w:bCs w:val="0"/>
          <w:color w:val="auto"/>
          <w:sz w:val="24"/>
          <w:szCs w:val="24"/>
        </w:rPr>
        <w:fldChar w:fldCharType="separate"/>
      </w:r>
      <w:r>
        <w:rPr>
          <w:rStyle w:val="20"/>
          <w:rFonts w:hint="default" w:ascii="Times New Roman" w:hAnsi="Times New Roman" w:cs="Times New Roman"/>
          <w:b w:val="0"/>
          <w:bCs w:val="0"/>
          <w:color w:val="auto"/>
          <w:sz w:val="24"/>
          <w:szCs w:val="24"/>
        </w:rPr>
        <w:t>[OD3]</w:t>
      </w:r>
      <w:r>
        <w:rPr>
          <w:rStyle w:val="20"/>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 2025–2026 Eğitim Öğretim Yılı’nın başlamasıyla birlikte, Fizyoterapi ve Rehabilitasyon Bölümü 1. sınıf öğrencilerine yönelik oryantasyon eğitimi düzenlenmiştir. 02.10.2025 tarihinde saat 15.00’te Sağlık Bilimleri Fakültesi Fizyoterapi ve Rehabilitasyon Bölümü ED-K1-5 dersliğinde gerçekleştirilen programa; Sağlık Bilimleri Fakültesi Dekanı Prof. Dr. İsmail Gürkan ÇIKIM, 1. sınıf danışmanı Dr. Öğr. Üyesi Asiye UZUN ve bölüm öğretim elemanları katılım sağlamıştır. Oryantasyon programı Saygı Duruşu ve İstiklal Marşı ile başlamış; açılış konuşmalarında üniversitenin, fakültenin ve Fizyoterapi ve Rehabilitasyon Bölümü’nün akademik ve idari yapılanması hakkında bilgilendirmeler yapılmıştır. Bu kapsamda öğrencilerin üniversite yaşamına uyum süreçlerinin desteklenmesi amaçlanmıştır. Eğitim süresince ders ve sınav uygulamalarına ilişkin esaslar ile Öğrenci Bilgi Sistemi (OBS), Eğitim Yönetim Sistemi (EYS) ve KSÜ Uzaktan Eğitim Merkezi (UZEM) platformlarının kullanımı hakkında ayrıntılı bilgiler sunulmuştur. Ayrıca danışmanlık sistemi, AKTS uygulamaları ve not değerlendirme süreçlerine ilişkin açıklamalara yer verilmiştir. Programda bölüm</w:t>
      </w:r>
      <w:r>
        <w:rPr>
          <w:rFonts w:hint="default" w:ascii="Times New Roman" w:hAnsi="Times New Roman" w:cs="Times New Roman"/>
          <w:b w:val="0"/>
          <w:bCs w:val="0"/>
          <w:color w:val="auto"/>
          <w:sz w:val="24"/>
          <w:szCs w:val="24"/>
          <w:lang w:val="tr-TR"/>
        </w:rPr>
        <w:t xml:space="preserve"> </w:t>
      </w:r>
      <w:r>
        <w:rPr>
          <w:rFonts w:ascii="Times New Roman" w:hAnsi="Times New Roman" w:cs="Times New Roman"/>
          <w:sz w:val="24"/>
          <w:szCs w:val="24"/>
        </w:rPr>
        <w:t xml:space="preserve">bünyesindeki akademik ve sosyal olanaklar tanıtılmış; Erasmus+, Mevlana ve Farabi öğrenci değişim programlarına ilişkin bilgilendirme yapılmıştır </w:t>
      </w:r>
      <w:r>
        <w:fldChar w:fldCharType="begin"/>
      </w:r>
      <w:r>
        <w:instrText xml:space="preserve"> HYPERLINK "https://sbfftr.ksu.edu.tr/default.aspx?DId=99799"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5E31F92D">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Bu etkinliklerin FTR bölüm komisyonunca her akademik eğitim öğretim yılında çeşitli toplantılarla organizasyonu yapılmaktadır. Bilimsel /Sosyal ve Kültürel Faaliyetler Komisyonunda bulunan sorumlu Öğretim Üyelerimiz;</w:t>
      </w:r>
    </w:p>
    <w:p w14:paraId="59E1830C">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Doç. Dr. Hatice ADIGÜZEL TAT (Başkan)</w:t>
      </w:r>
    </w:p>
    <w:p w14:paraId="59C405D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Dr. Öğr. Üyesi Mehmet GÖĞREMİŞ</w:t>
      </w:r>
    </w:p>
    <w:p w14:paraId="1C894916">
      <w:pPr>
        <w:spacing w:after="160" w:line="360" w:lineRule="auto"/>
        <w:jc w:val="both"/>
        <w:rPr>
          <w:rFonts w:hint="default" w:ascii="Times New Roman" w:hAnsi="Times New Roman" w:cs="Times New Roman"/>
          <w:sz w:val="24"/>
          <w:szCs w:val="24"/>
          <w:lang w:val="tr-TR"/>
        </w:rPr>
      </w:pPr>
      <w:r>
        <w:rPr>
          <w:rFonts w:ascii="Times New Roman" w:hAnsi="Times New Roman" w:cs="Times New Roman"/>
          <w:sz w:val="24"/>
          <w:szCs w:val="24"/>
        </w:rPr>
        <w:t>Dr. Öğr. Üyesi Asiya UZUN</w:t>
      </w:r>
    </w:p>
    <w:p w14:paraId="691A8FC9">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Dr. Öğr. Üyesi Yusuf Ş. KIRMACI</w:t>
      </w:r>
    </w:p>
    <w:p w14:paraId="671C8585">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Arş. Gör. Dr. Aykut ÖZÇADIRCI</w:t>
      </w:r>
    </w:p>
    <w:p w14:paraId="2CAB8DE4">
      <w:pPr>
        <w:spacing w:after="160" w:line="360" w:lineRule="auto"/>
        <w:jc w:val="both"/>
        <w:rPr>
          <w:rFonts w:hint="default" w:ascii="Times New Roman" w:hAnsi="Times New Roman" w:cs="Times New Roman"/>
          <w:sz w:val="24"/>
          <w:szCs w:val="24"/>
          <w:lang w:val="tr-TR"/>
        </w:rPr>
      </w:pPr>
      <w:r>
        <w:rPr>
          <w:rFonts w:ascii="Times New Roman" w:hAnsi="Times New Roman" w:cs="Times New Roman"/>
          <w:sz w:val="24"/>
          <w:szCs w:val="24"/>
        </w:rPr>
        <w:t xml:space="preserve">Arş. Gör. Abdulkadir ERTÜRK’dür </w:t>
      </w:r>
      <w:r>
        <w:fldChar w:fldCharType="begin"/>
      </w:r>
      <w:r>
        <w:instrText xml:space="preserve"> HYPERLINK "https://drive.google.com/file/d/1NJhrB9psVFIo6j0CE3UnqUF5dFdtIqft/view?usp=drivesdk" </w:instrText>
      </w:r>
      <w:r>
        <w:fldChar w:fldCharType="separate"/>
      </w:r>
      <w:r>
        <w:rPr>
          <w:rStyle w:val="20"/>
          <w:rFonts w:ascii="Times New Roman" w:hAnsi="Times New Roman" w:cs="Times New Roman"/>
          <w:sz w:val="24"/>
          <w:szCs w:val="24"/>
        </w:rPr>
        <w:t>[OD3]</w:t>
      </w:r>
      <w:r>
        <w:rPr>
          <w:rStyle w:val="20"/>
          <w:rFonts w:ascii="Times New Roman" w:hAnsi="Times New Roman" w:cs="Times New Roman"/>
          <w:sz w:val="24"/>
          <w:szCs w:val="24"/>
        </w:rPr>
        <w:fldChar w:fldCharType="end"/>
      </w:r>
      <w:r>
        <w:rPr>
          <w:rFonts w:ascii="Times New Roman" w:hAnsi="Times New Roman" w:cs="Times New Roman"/>
          <w:sz w:val="24"/>
          <w:szCs w:val="24"/>
        </w:rPr>
        <w:t>.</w:t>
      </w:r>
    </w:p>
    <w:p w14:paraId="1A5D6528">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0E68A248">
      <w:pPr>
        <w:pStyle w:val="2"/>
        <w:spacing w:after="240" w:line="360" w:lineRule="auto"/>
        <w:rPr>
          <w:rFonts w:ascii="Times New Roman" w:hAnsi="Times New Roman" w:cs="Times New Roman"/>
          <w:b w:val="0"/>
          <w:bCs w:val="0"/>
          <w:color w:val="1155CC"/>
          <w:sz w:val="24"/>
          <w:szCs w:val="24"/>
          <w:u w:val="single"/>
        </w:rPr>
      </w:pPr>
      <w:r>
        <w:rPr>
          <w:rFonts w:ascii="Times New Roman" w:hAnsi="Times New Roman" w:cs="Times New Roman"/>
          <w:b w:val="0"/>
          <w:bCs w:val="0"/>
          <w:color w:val="000000"/>
          <w:sz w:val="24"/>
          <w:szCs w:val="24"/>
        </w:rPr>
        <w:t xml:space="preserve">Ebelik Bölümümüz, eğitim-öğretim ve araştırma faaliyetlerinin yanı sıra anne-bebek-aile sağlığının geliştirilmesi, üreme sağlığı okuryazarlığının artırılması ve sağlıklı toplum hedeflerine katkı sunma sorumluluğunu da temel bir görev alanı olarak benimsemektedir. Bu doğrultuda toplumsal katkı süreçlerinin planlı, sistematik ve sürdürülebilir biçimde yönetilmesi; bölümün bilimsel birikiminin, insan kaynağının ve uygulama altyapısının toplum yararına etkin kullanımını sağlamaktadır. Toplumsal katkı faaliyetleri; ihtiyaç analizi, hedef kitle belirleme, paydaşlarla işbirliği, uygulama planı oluşturma, izleme-değerlendirme ve iyileştirme adımlarıyla bütüncül bir yaklaşımla yürütülmekte; elde edilen çıktılar doğrultusunda faaliyetler güncellenmektedir. Bu kapsamda Ebelik Bölümümüzün Toplumsal Katkı Politikası oluşturulmuştur </w:t>
      </w:r>
      <w:r>
        <w:fldChar w:fldCharType="begin"/>
      </w:r>
      <w:r>
        <w:instrText xml:space="preserve"> HYPERLINK "https://docs.google.com/document/d/10PQd2eWBXgalbApWMOo8uscGBJd-7crN/edit?usp=drive_link&amp;ouid=115848456155956492407&amp;rtpof=true&amp;sd=true" \h </w:instrText>
      </w:r>
      <w:r>
        <w:fldChar w:fldCharType="separate"/>
      </w:r>
      <w:r>
        <w:rPr>
          <w:rFonts w:ascii="Times New Roman" w:hAnsi="Times New Roman" w:cs="Times New Roman"/>
          <w:b w:val="0"/>
          <w:bCs w:val="0"/>
          <w:color w:val="1155CC"/>
          <w:sz w:val="24"/>
          <w:szCs w:val="24"/>
          <w:u w:val="single"/>
        </w:rPr>
        <w:t>(OD3).</w:t>
      </w:r>
      <w:r>
        <w:rPr>
          <w:rFonts w:ascii="Times New Roman" w:hAnsi="Times New Roman" w:cs="Times New Roman"/>
          <w:b w:val="0"/>
          <w:bCs w:val="0"/>
          <w:color w:val="1155CC"/>
          <w:sz w:val="24"/>
          <w:szCs w:val="24"/>
          <w:u w:val="single"/>
        </w:rPr>
        <w:fldChar w:fldCharType="end"/>
      </w:r>
    </w:p>
    <w:p w14:paraId="3D1BF4F6">
      <w:pPr>
        <w:pStyle w:val="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D.1.2. Kaynaklar</w:t>
      </w:r>
    </w:p>
    <w:p w14:paraId="6DEE9AE7">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Hemşirelik</w:t>
      </w:r>
    </w:p>
    <w:p w14:paraId="164ABF70">
      <w:pPr>
        <w:pStyle w:val="2"/>
        <w:spacing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 xml:space="preserve">Toplumsal katkı faaliyetlerinin kurumsal stratejilerle uyumlu olarak yürütülmesi, paydaşlarla iş birliğinin güçlendirilmesi ve bu süreçleri destekleyen mali, fiziki ve insan kaynaklarının etkin şekilde yönetilmesi, topluma sunulan hizmetlerin kalitesini ve etki düzeyini artırmaktadır. Bu kapsamda toplumsal katkı faaliyetlerini yürüten araştırma ve uygulama etkinlerinin bazı örnekleri; Onikişubat ve Dulkadiroğlu merkez ilçelerimize bağlı ilköğretim okullarındaki öğrencilere yönelik sağlık eğitiminin verilmesi, 2025 TEKNOFEST İnsanlık Yararına Teknoloji Yarışması Değerlendirme Kurulu Toplantısına katılımın sağlanması, KSÜ Radyo’da Halk sağlığı söyleşileri programılarının planlanması ve uygulanması bölümümüz acısından toplumsal katkı kaynaklarının yönetiminin etkin uygulandığını göstermektedir. </w:t>
      </w:r>
      <w:r>
        <w:fldChar w:fldCharType="begin"/>
      </w:r>
      <w:r>
        <w:instrText xml:space="preserve"> HYPERLINK "https://saglik.ksu.edu.tr/default.aspx?DId=79363"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w:t>
      </w:r>
    </w:p>
    <w:p w14:paraId="3ABE41C0">
      <w:pPr>
        <w:pStyle w:val="2"/>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Fizyoterapi ve Rehabilitasyon</w:t>
      </w:r>
    </w:p>
    <w:p w14:paraId="47CDEA25">
      <w:pPr>
        <w:pStyle w:val="2"/>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Fizyoterapi ve Rehabilitasyon bölümü’nde toplumsal katkı etkinliklerine ayrılan standart bir bütçe planlaması yoktur. Ancak 2025-2026 Güz Dönemi bölümümüzde 4 Öğretim Üyemiz ve 2 Öğretim Elemanımız Bilimsel /Sosyal ve Kültürel Faaliyetler Komisyonu’nda görevlendirilmiştir </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"https://drive.google.com/file/d/1NJhrB9psVFIo6j0CE3UnqUF5dFdtIqft/view?usp=drivesdk"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[OD2]</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 xml:space="preserve">.3. Sınıf Fizyoterapi ve Rehabilitasyon öğrencilerimiz tarafından 2024-2025 mezun adaylarının motivasyonunu arttırıcı etkinlikler düzenlenmiştir </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"https://sbfftr.ksu.edu.tr/default.aspx?DId=91289."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[OD2]</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 xml:space="preserve">. Kulüp bütçesi kapsamında tüm etkinlikler EBYS üzerinden danışman öğretim üyesi tarafından rektörlüğe bağlı Öğrenci Toplulukları Yönetim Birimi Başkanlığı’na iletilmektedir. Bu kapsamda bazı etkinlikler için üniversitemizden katılımcıların uçak, transfer vs gibi konularda bütçe talep edilerek, karşılanmıştır. Ayrıca etkinliklerde tüm bölüm öğretim elemanları ve öğrencilerin rol alması sağlanmıştır. 2025-2026 yılına ait tüm etkinlikler web sitemizde duyurulmaktadır </w:t>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"https://sbfftr.ksu.edu.tr/"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[OD2]</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t xml:space="preserve"> ve web sitesinde bulunan akademik faaliyet raporunda özetlenmiştir.</w:t>
      </w:r>
    </w:p>
    <w:p w14:paraId="7B06AF53">
      <w:pPr>
        <w:pStyle w:val="2"/>
        <w:spacing w:line="360" w:lineRule="auto"/>
        <w:rPr>
          <w:rFonts w:hint="default" w:ascii="Times New Roman" w:hAnsi="Times New Roman" w:cs="Times New Roman"/>
          <w:color w:val="auto"/>
          <w:sz w:val="24"/>
          <w:szCs w:val="24"/>
        </w:rPr>
      </w:pPr>
    </w:p>
    <w:p w14:paraId="50890AB6">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Ebelik</w:t>
      </w:r>
    </w:p>
    <w:p w14:paraId="6EA8322E">
      <w:pPr>
        <w:spacing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Ebelik Bölümümüzde toplumsal katkı faaliyetlerinin kurumsal stratejilerle uyumlu biçimde yürütülmesi; anne–bebek–çocuk sağlığının geliştirilmesi, üreme sağlığı okuryazarlığının artırılması ve koruyucu sağlık hizmetlerinin güçlendirilmesi açısından kritik bir işlev görmektedir. Bu süreçte insan kaynağı (akademik personel, klinik uygulama deneyimi olan öğretim elemanları ve öğrenciler), fiziki kaynaklar (eğitim-uygulama altyapısı, laboratuvar/simülasyon olanakları ve saha uygulama alanları) ve mali kaynaklar (kurumsal destekler, proje/etkinlik bütçeleri) bütüncül şekilde planlanmakta; yerel yönetimler, sağlık kuruluşları, okullar ve sivil toplumla kurulan işbirlikleri ile etki alanı genişletilmektedir. </w:t>
      </w:r>
    </w:p>
    <w:p w14:paraId="5BC0456F">
      <w:pPr>
        <w:spacing w:before="240" w:after="24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Ebelik Bölümümüzde toplumsal katkı faaliyetleri; kurumsal koordinasyon yapıları, insan kaynağı, eğitim–uygulama altyapısı ve paydaş işbirlikleri üzerinden yürütülmektedir. Bu kapsamda toplumsal katkı faaliyetlerinin planlanması ve izlenmesi için Bilimsel/Sosyal ve Kültürel Faaliyetler Komisyonu oluşturulmuş; ayrıca Umay Ebelik Öğrenci Topluluğu aktif biçimde çalışarak komisyonla iş birliği içinde etkinlikler planlamakta ve yürütülen faaliyetler kamuoyu ile paylaşılmaktadır.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"https://docs.google.com/document/d/1xVsvPEU7gaFQWPygF-woirPVh_PBvvNS/edit"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1155CC"/>
          <w:sz w:val="24"/>
          <w:szCs w:val="24"/>
          <w:u w:val="single"/>
        </w:rPr>
        <w:t>(OD3)</w:t>
      </w:r>
      <w:r>
        <w:rPr>
          <w:rFonts w:hint="default" w:ascii="Times New Roman" w:hAnsi="Times New Roman" w:eastAsia="Times New Roman" w:cs="Times New Roman"/>
          <w:color w:val="1155CC"/>
          <w:sz w:val="24"/>
          <w:szCs w:val="24"/>
          <w:u w:val="single"/>
        </w:rPr>
        <w:fldChar w:fldCharType="end"/>
      </w:r>
      <w:r>
        <w:rPr>
          <w:rFonts w:hint="default" w:ascii="Times New Roman" w:hAnsi="Times New Roman" w:eastAsia="Times New Roman" w:cs="Times New Roman"/>
          <w:sz w:val="24"/>
          <w:szCs w:val="24"/>
        </w:rPr>
        <w:t>.</w:t>
      </w:r>
    </w:p>
    <w:p w14:paraId="577845C6">
      <w:pPr>
        <w:spacing w:before="240" w:after="240" w:line="360" w:lineRule="auto"/>
        <w:jc w:val="both"/>
        <w:rPr>
          <w:rFonts w:hint="default" w:ascii="Times New Roman" w:hAnsi="Times New Roman" w:cs="Times New Roman"/>
          <w:b w:val="0"/>
          <w:bCs w:val="0"/>
          <w:color w:val="1155CC"/>
          <w:sz w:val="24"/>
          <w:szCs w:val="24"/>
          <w:u w:val="single"/>
        </w:rPr>
      </w:pPr>
      <w:r>
        <w:rPr>
          <w:rFonts w:hint="default" w:ascii="Times New Roman" w:hAnsi="Times New Roman" w:eastAsia="Times New Roman" w:cs="Times New Roman"/>
          <w:sz w:val="24"/>
          <w:szCs w:val="24"/>
        </w:rPr>
        <w:t xml:space="preserve">Toplumsal katkı görünürlüğünü artıran kaynaklar arasında Radyo KSÜ gibi mecralarda yer almakta; Umay Ebelik Öğrenci Topluluğu tarafından Ulusal Ebeler Haftası, Dünya Ebeler Günü, Dünya Menopoz Günü gibi tematik günlerde programlar yapılması ve Meme Kanseri Farkındalık Ayı kapsamında bilgilendirme çalışmaları yürütülmesi, ebelik odağında toplumla etkileşimi güçlendiren sürdürülebilir bir kaynak kullanımına örnek oluşturmaktadır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"https://docs.google.com/document/d/1xVsvPEU7gaFQWPygF-woirPVh_PBvvNS/edit" \h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1155CC"/>
          <w:sz w:val="24"/>
          <w:szCs w:val="24"/>
          <w:u w:val="single"/>
        </w:rPr>
        <w:t>(OD3)</w:t>
      </w:r>
      <w:r>
        <w:rPr>
          <w:rFonts w:hint="default" w:ascii="Times New Roman" w:hAnsi="Times New Roman" w:eastAsia="Times New Roman" w:cs="Times New Roman"/>
          <w:color w:val="1155CC"/>
          <w:sz w:val="24"/>
          <w:szCs w:val="24"/>
          <w:u w:val="single"/>
        </w:rPr>
        <w:fldChar w:fldCharType="end"/>
      </w:r>
      <w:r>
        <w:rPr>
          <w:rFonts w:hint="default" w:ascii="Times New Roman" w:hAnsi="Times New Roman" w:eastAsia="Times New Roman" w:cs="Times New Roman"/>
          <w:sz w:val="24"/>
          <w:szCs w:val="24"/>
        </w:rPr>
        <w:t>.</w:t>
      </w:r>
    </w:p>
    <w:p w14:paraId="2997508A">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D.2 Toplumsal Katkı Performansı</w:t>
      </w:r>
    </w:p>
    <w:p w14:paraId="703F047A">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D.2.1. Toplumsal katkı performansının izlenmesi ve değerlendirilmesi</w:t>
      </w:r>
    </w:p>
    <w:p w14:paraId="2884F080">
      <w:pPr>
        <w:pStyle w:val="2"/>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Hemşirelik</w:t>
      </w:r>
    </w:p>
    <w:p w14:paraId="2FAE1781">
      <w:pPr>
        <w:pStyle w:val="2"/>
        <w:spacing w:line="360" w:lineRule="auto"/>
        <w:rPr>
          <w:rFonts w:ascii="Times New Roman" w:hAnsi="Times New Roman" w:cs="Times New Roman"/>
          <w:color w:val="auto"/>
          <w:sz w:val="22"/>
          <w:szCs w:val="22"/>
        </w:rPr>
      </w:pPr>
      <w:r>
        <w:rPr>
          <w:rFonts w:hint="default" w:ascii="Times New Roman" w:hAnsi="Times New Roman" w:cs="Times New Roman"/>
          <w:b w:val="0"/>
          <w:bCs w:val="0"/>
          <w:color w:val="auto"/>
          <w:sz w:val="24"/>
          <w:szCs w:val="24"/>
        </w:rPr>
        <w:t xml:space="preserve">Toplumsal katkı performansının izlenmesi ve değerlendirilmesi, bölümümüzün topluma yönelik faaliyetlerinin etkililik, verimlilik ve sürdürülebilirlik düzeyini ortaya koymak açısından kritik bir yönetim aracıdır. Bu süreç, gerçekleştirilen toplumsal katkı faaliyetlerinin kurumsal stratejik hedeflerle uyumunu izlemeye, paydaş beklentilerinin karşılanma düzeyini ölçmeye ve elde edilen bulgular doğrultusunda sürekli iyileştirme mekanizmalarını işletmeye olanak sağlamaktadır. Bu kapsamda bölümümüz tarafından bir çok toplumsal katkı faaliyetleri gerçekleşmiştir. Bu faaliyatlerin bazıları; Kahramanmaraş PTT İl müdürlüğü iş birliği ile Hayatımın En Güzel Varlığı; Canım Aileme Mektup" etkinliği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"https://sbfhemsirelik.ksu.edu.tr/default.aspx?DId=90879"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Kahramanmaraş Afet ve Acil Durumum Müdürlüğü iş birliğinde Afet Farkındalık Eğitimi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"https://sbfhemsirelik.ksu.edu.tr/Default.aspx?DId=101360"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Halk Sağlığı Söyleşileri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"https://saglik.ksu.edu.tr/default.aspx?DId=79363"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Temiz Çevre ve Temiz Gelecek İçin Sen de El Ver etkinliği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"https://sbfhemsirelik.ksu.edu.tr/default.aspx?DId=89472"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sz w:val="24"/>
          <w:szCs w:val="24"/>
        </w:rPr>
        <w:t>(OD3)</w:t>
      </w:r>
      <w:r>
        <w:rPr>
          <w:rStyle w:val="20"/>
          <w:rFonts w:hint="default" w:ascii="Times New Roman" w:hAnsi="Times New Roman" w:cs="Times New Roman"/>
          <w:b w:val="0"/>
          <w:bCs w:val="0"/>
          <w:sz w:val="24"/>
          <w:szCs w:val="24"/>
        </w:rPr>
        <w:fldChar w:fldCharType="end"/>
      </w:r>
      <w:r>
        <w:rPr>
          <w:rFonts w:hint="default" w:ascii="Times New Roman" w:hAnsi="Times New Roman" w:cs="Times New Roman"/>
          <w:b w:val="0"/>
          <w:bCs w:val="0"/>
          <w:color w:val="auto"/>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"https://sbfhemsirelik.ksu.edu.tr/default.aspx?DId=90964" \h </w:instrText>
      </w:r>
      <w:r>
        <w:rPr>
          <w:rFonts w:hint="default" w:ascii="Times New Roman" w:hAnsi="Times New Roman" w:cs="Times New Roman"/>
          <w:sz w:val="24"/>
          <w:szCs w:val="24"/>
        </w:rPr>
        <w:fldChar w:fldCharType="separate"/>
      </w:r>
      <w:r>
        <w:rPr>
          <w:rStyle w:val="20"/>
          <w:rFonts w:hint="default" w:ascii="Times New Roman" w:hAnsi="Times New Roman" w:cs="Times New Roman"/>
          <w:b w:val="0"/>
          <w:bCs w:val="0"/>
          <w:color w:val="auto"/>
          <w:sz w:val="24"/>
          <w:szCs w:val="24"/>
          <w:u w:val="none"/>
        </w:rPr>
        <w:t>Kahramanmaraş Dulkadiroğlu ilçesine bağlı Gülbahar Hatun Anaokulunda Diş Fırçalama ve El Hijyeni konularında farkındalık</w:t>
      </w:r>
      <w:r>
        <w:rPr>
          <w:rStyle w:val="20"/>
          <w:rFonts w:hint="default" w:ascii="Times New Roman" w:hAnsi="Times New Roman" w:cs="Times New Roman"/>
          <w:b w:val="0"/>
          <w:bCs w:val="0"/>
          <w:color w:val="auto"/>
          <w:sz w:val="24"/>
          <w:szCs w:val="24"/>
          <w:u w:val="none"/>
        </w:rPr>
        <w:fldChar w:fldCharType="end"/>
      </w:r>
      <w:r>
        <w:rPr>
          <w:rFonts w:ascii="Times New Roman" w:hAnsi="Times New Roman" w:cs="Times New Roman"/>
          <w:b w:val="0"/>
          <w:bCs w:val="0"/>
          <w:color w:val="auto"/>
          <w:sz w:val="24"/>
          <w:szCs w:val="24"/>
        </w:rPr>
        <w:t xml:space="preserve"> eğitimi </w:t>
      </w:r>
      <w:r>
        <w:fldChar w:fldCharType="begin"/>
      </w:r>
      <w:r>
        <w:instrText xml:space="preserve"> HYPERLINK "https://sbfhemsirelik.ksu.edu.tr/default.aspx?DId=90964"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"https://sbfhemsirelik.ksu.edu.tr/default.aspx?DId=90965" \h </w:instrText>
      </w:r>
      <w:r>
        <w:fldChar w:fldCharType="separate"/>
      </w:r>
      <w:r>
        <w:rPr>
          <w:rStyle w:val="20"/>
          <w:rFonts w:ascii="Times New Roman" w:hAnsi="Times New Roman" w:cs="Times New Roman"/>
          <w:b w:val="0"/>
          <w:bCs w:val="0"/>
          <w:color w:val="auto"/>
          <w:sz w:val="24"/>
          <w:szCs w:val="24"/>
          <w:u w:val="none"/>
        </w:rPr>
        <w:t>Kahramanmaraş Şehir Hakan Duyğal Huzurevi ziyareti</w:t>
      </w:r>
      <w:r>
        <w:rPr>
          <w:rStyle w:val="20"/>
          <w:rFonts w:ascii="Times New Roman" w:hAnsi="Times New Roman" w:cs="Times New Roman"/>
          <w:b w:val="0"/>
          <w:bCs w:val="0"/>
          <w:color w:val="auto"/>
          <w:sz w:val="24"/>
          <w:szCs w:val="24"/>
          <w:u w:val="none"/>
        </w:rPr>
        <w:fldChar w:fldCharType="end"/>
      </w:r>
      <w:r>
        <w:rPr>
          <w:rFonts w:ascii="Times New Roman" w:hAnsi="Times New Roman" w:cs="Times New Roman"/>
          <w:b w:val="0"/>
          <w:bCs w:val="0"/>
          <w:color w:val="auto"/>
          <w:sz w:val="24"/>
          <w:szCs w:val="24"/>
        </w:rPr>
        <w:t xml:space="preserve"> </w:t>
      </w:r>
      <w:r>
        <w:fldChar w:fldCharType="begin"/>
      </w:r>
      <w:r>
        <w:instrText xml:space="preserve"> HYPERLINK "https://sbfhemsirelik.ksu.edu.tr/default.aspx?DId=90965"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Piazza AVM'de diyabet, hipertansiyon, tütün ve tütün ürünleri, meme, rahim ağzı ve prostat kanseri konularında toplumda farkındalık oluşturmak adına eğitimler verilmiş ve broşürler dağıtılmıştır </w:t>
      </w:r>
      <w:r>
        <w:fldChar w:fldCharType="begin"/>
      </w:r>
      <w:r>
        <w:instrText xml:space="preserve"> HYPERLINK "https://sbfhemsirelik.ksu.edu.tr/default.aspx?DId=89525"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Yıl içinde yine Onikişubat Kız Öğrenci Yurdunda Kendine Değer Ver Hijyenini İhmal Etme etkinliği </w:t>
      </w:r>
      <w:r>
        <w:fldChar w:fldCharType="begin"/>
      </w:r>
      <w:r>
        <w:instrText xml:space="preserve"> HYPERLINK "https://sbfhemsirelik.ksu.edu.tr/Default.aspx?DId=93042"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sz w:val="24"/>
          <w:szCs w:val="24"/>
        </w:rPr>
        <w:t xml:space="preserve"> </w:t>
      </w:r>
      <w:r>
        <w:rPr>
          <w:rFonts w:ascii="Times New Roman" w:hAnsi="Times New Roman" w:cs="Times New Roman"/>
          <w:b w:val="0"/>
          <w:bCs w:val="0"/>
          <w:color w:val="auto"/>
          <w:sz w:val="24"/>
          <w:szCs w:val="24"/>
        </w:rPr>
        <w:t>AFAD İl Müdürlüğü iş birliğiyle afet tatbikatı (</w:t>
      </w:r>
      <w:r>
        <w:fldChar w:fldCharType="begin"/>
      </w:r>
      <w:r>
        <w:instrText xml:space="preserve"> HYPERLINK "https://sbfhemsirelik.ksu.edu.tr/default.aspx?DId=100348"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Kadına Yönelik Şiddetle Mücadele </w:t>
      </w:r>
      <w:r>
        <w:fldChar w:fldCharType="begin"/>
      </w:r>
      <w:r>
        <w:instrText xml:space="preserve"> HYPERLINK "https://sbfhemsirelik.ksu.edu.tr/Default.aspx?DId=100192"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color w:val="auto"/>
          <w:sz w:val="24"/>
          <w:szCs w:val="24"/>
        </w:rPr>
        <w:t xml:space="preserve">, Onikişubat Suzan ve Abdulhakim Bilgili Halk Eğitimi Merkezi'nde kursa gelen kadınlara HPV ve Serviks Kanseri farkındalık eğitimidir </w:t>
      </w:r>
      <w:r>
        <w:fldChar w:fldCharType="begin"/>
      </w:r>
      <w:r>
        <w:instrText xml:space="preserve"> HYPERLINK "https://sbfhemsirelik.ksu.edu.tr/Default.aspx?DId=93071"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sz w:val="24"/>
          <w:szCs w:val="24"/>
        </w:rPr>
        <w:t xml:space="preserve"> </w:t>
      </w:r>
      <w:r>
        <w:rPr>
          <w:rFonts w:ascii="Times New Roman" w:hAnsi="Times New Roman" w:cs="Times New Roman"/>
          <w:b w:val="0"/>
          <w:bCs w:val="0"/>
          <w:color w:val="auto"/>
          <w:sz w:val="24"/>
          <w:szCs w:val="24"/>
        </w:rPr>
        <w:t xml:space="preserve">Bu toplumsal katkının izlenmesi ve değerlendirilmesi adına iç ve dış paydaş anketleri </w:t>
      </w:r>
      <w:r>
        <w:fldChar w:fldCharType="begin"/>
      </w:r>
      <w:r>
        <w:instrText xml:space="preserve"> HYPERLINK "https://sbfhemsirelik.ksu.edu.tr/Default.aspx?SId=32444"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r>
        <w:rPr>
          <w:rFonts w:ascii="Times New Roman" w:hAnsi="Times New Roman" w:cs="Times New Roman"/>
          <w:b w:val="0"/>
          <w:bCs w:val="0"/>
          <w:sz w:val="24"/>
          <w:szCs w:val="24"/>
        </w:rPr>
        <w:t xml:space="preserve"> </w:t>
      </w:r>
      <w:r>
        <w:rPr>
          <w:rFonts w:ascii="Times New Roman" w:hAnsi="Times New Roman" w:cs="Times New Roman"/>
          <w:b w:val="0"/>
          <w:bCs w:val="0"/>
          <w:color w:val="auto"/>
          <w:sz w:val="24"/>
          <w:szCs w:val="24"/>
        </w:rPr>
        <w:t xml:space="preserve">oluşturulmuş olup, gerekli izlem ve değerlendirilmesi her katkı sonrası ölçülmektedir </w:t>
      </w:r>
      <w:r>
        <w:fldChar w:fldCharType="begin"/>
      </w:r>
      <w:r>
        <w:instrText xml:space="preserve"> HYPERLINK "https://sbfhemsirelik.ksu.edu.tr/depo/belgeler/%C4%B0%C3%87%20VE%20DI%C5%9E%20PAYDA%C5%9E%20PROGRAM%20%C3%87IKTILARI%20DE%C4%9EERLEND%C4%B0RME%20SONU%C3%87LARI-2024_2502282314471325.pdf" \h </w:instrText>
      </w:r>
      <w:r>
        <w:fldChar w:fldCharType="separate"/>
      </w:r>
      <w:r>
        <w:rPr>
          <w:rStyle w:val="20"/>
          <w:rFonts w:ascii="Times New Roman" w:hAnsi="Times New Roman" w:cs="Times New Roman"/>
          <w:b w:val="0"/>
          <w:bCs w:val="0"/>
          <w:sz w:val="24"/>
          <w:szCs w:val="24"/>
        </w:rPr>
        <w:t>(OD3)</w:t>
      </w:r>
      <w:r>
        <w:rPr>
          <w:rStyle w:val="20"/>
          <w:rFonts w:ascii="Times New Roman" w:hAnsi="Times New Roman" w:cs="Times New Roman"/>
          <w:b w:val="0"/>
          <w:bCs w:val="0"/>
          <w:sz w:val="24"/>
          <w:szCs w:val="24"/>
        </w:rPr>
        <w:fldChar w:fldCharType="end"/>
      </w:r>
    </w:p>
    <w:p w14:paraId="0F0B253C">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Fizyoterapi ve Rehabilitasyon</w:t>
      </w:r>
    </w:p>
    <w:p w14:paraId="4EB1B203">
      <w:pPr>
        <w:pStyle w:val="2"/>
        <w:spacing w:line="360"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Kurum ya da bölümün standart bir toplumsal katkı performansı izleme ve değerlendirme faaliyetleri bulunmaktadır </w:t>
      </w:r>
      <w:r>
        <w:fldChar w:fldCharType="begin"/>
      </w:r>
      <w:r>
        <w:instrText xml:space="preserve"> HYPERLINK "https://saglik.ksu.edu.tr/Default.aspx?SId=21693"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b w:val="0"/>
          <w:bCs w:val="0"/>
          <w:color w:val="auto"/>
          <w:sz w:val="24"/>
          <w:szCs w:val="24"/>
        </w:rPr>
        <w:t xml:space="preserve">. Ancak her yıl fakültemiz bünyesinde bölüm faaliyet raporlarıyla performanslar izlenmektedir. Ayrıca üniversitemiz bünyesinde tüm öğretim elemanlarının faaliyetleri KSÜVERSİS bilgi sisteminde girilmektedir. Üniversitemiz KSÜVERSİS üzerinden süreci takip etmektedir </w:t>
      </w:r>
      <w:r>
        <w:fldChar w:fldCharType="begin"/>
      </w:r>
      <w:r>
        <w:instrText xml:space="preserve"> HYPERLINK "https://versis.ksu.edu.tr/login.aspx" </w:instrText>
      </w:r>
      <w:r>
        <w:fldChar w:fldCharType="separate"/>
      </w:r>
      <w:r>
        <w:rPr>
          <w:rStyle w:val="20"/>
          <w:rFonts w:ascii="Times New Roman" w:hAnsi="Times New Roman" w:cs="Times New Roman"/>
          <w:b w:val="0"/>
          <w:bCs w:val="0"/>
          <w:color w:val="4472C4" w:themeColor="accent1"/>
          <w:sz w:val="24"/>
          <w:szCs w:val="24"/>
          <w14:textFill>
            <w14:solidFill>
              <w14:schemeClr w14:val="accent1"/>
            </w14:solidFill>
          </w14:textFill>
        </w:rPr>
        <w:t>[OD3]</w:t>
      </w:r>
      <w:r>
        <w:rPr>
          <w:rStyle w:val="20"/>
          <w:rFonts w:ascii="Times New Roman" w:hAnsi="Times New Roman" w:cs="Times New Roman"/>
          <w:b w:val="0"/>
          <w:bCs w:val="0"/>
          <w:color w:val="4472C4" w:themeColor="accent1"/>
          <w:sz w:val="24"/>
          <w:szCs w:val="24"/>
          <w14:textFill>
            <w14:solidFill>
              <w14:schemeClr w14:val="accent1"/>
            </w14:solidFill>
          </w14:textFill>
        </w:rPr>
        <w:fldChar w:fldCharType="end"/>
      </w:r>
      <w:r>
        <w:rPr>
          <w:rFonts w:ascii="Times New Roman" w:hAnsi="Times New Roman" w:cs="Times New Roman"/>
          <w:sz w:val="24"/>
          <w:szCs w:val="24"/>
        </w:rPr>
        <w:t>.</w:t>
      </w:r>
    </w:p>
    <w:p w14:paraId="6AB57761">
      <w:pPr>
        <w:pStyle w:val="2"/>
        <w:spacing w:line="360" w:lineRule="auto"/>
        <w:rPr>
          <w:rFonts w:ascii="Times New Roman" w:hAnsi="Times New Roman" w:cs="Times New Roman"/>
          <w:color w:val="auto"/>
          <w:sz w:val="22"/>
          <w:szCs w:val="22"/>
        </w:rPr>
      </w:pPr>
    </w:p>
    <w:p w14:paraId="39A03442">
      <w:pPr>
        <w:pStyle w:val="2"/>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Ebelik</w:t>
      </w:r>
    </w:p>
    <w:p w14:paraId="2CC9BA6E">
      <w:pPr>
        <w:pStyle w:val="2"/>
        <w:spacing w:after="240" w:line="360" w:lineRule="auto"/>
        <w:rPr>
          <w:rFonts w:ascii="Times New Roman" w:hAnsi="Times New Roman" w:cs="Times New Roman"/>
          <w:sz w:val="24"/>
          <w:szCs w:val="24"/>
        </w:rPr>
      </w:pPr>
      <w:r>
        <w:rPr>
          <w:rFonts w:ascii="Times New Roman" w:hAnsi="Times New Roman" w:cs="Times New Roman"/>
          <w:b w:val="0"/>
          <w:bCs w:val="0"/>
          <w:color w:val="000000"/>
          <w:sz w:val="24"/>
          <w:szCs w:val="24"/>
        </w:rPr>
        <w:t xml:space="preserve">Toplumsal katkı performansının izlenmesi ve değerlendirilmesi, Ebelik Bölümü’nün topluma yönelik faaliyetlerinin etkililik, verimlilik ve sürdürülebilirlik düzeyini ortaya koymak açısından kritik bir yönetim aracıdır. Bu süreç; yürütülen toplumsal katkı uygulamalarının fakülte ve üniversitenin kalite güvencesi yaklaşımıyla uyumunu izlemeye, paydaş beklentilerinin karşılanma düzeyini değerlendirmeye ve elde edilen bulgular doğrultusunda sürekli iyileştirme mekanizmalarını işletmeye olanak sağlamaktadır. Bu kapsamda bölümümüz tarafından birçok toplumsal katkı faaliyetleri gerçekleşmiştir. </w:t>
      </w:r>
    </w:p>
    <w:p w14:paraId="5201D00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Sağlık Bilimleri Fakültesi bünyesinde kalite güvencesi, eğitim-öğretim, toplumsal katkı ve yönetim sistemi alanlarında tanımlı politikalar doğrultusunda yürütülen uygulamalar bulunmaktadır. Ebelik Bölümü de fakültenin benimsediği kalite politikalarını esas alarak toplumsal katkı faaliyetlerini planlamak ve uygulamaktadır. Bu kapsamda, eğitim müfredatında yer alan “EE349 Topluma Hizmet Uygulamaları” dersi çerçevesinde Ebelik 3. sınıf öğrencileri “toplumsal katkı” proje ödevleri geliştirerek toplam 12 projeyi başarıyla uygulamıştır </w:t>
      </w:r>
      <w:r>
        <w:fldChar w:fldCharType="begin"/>
      </w:r>
      <w:r>
        <w:instrText xml:space="preserve"> HYPERLINK "https://docs.google.com/document/d/1xVsvPEU7gaFQWPygF-woirPVh_PBvvNS/edit"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Öğrenciler farklı gruplara ayrılarak danışman öğretim elemanları rehberliğinde sosyal sorumluluk projeleri tasarlamış, uygulama süreçlerini tamamlamış ve proje raporlarını sorumlu öğretim elemanlarına teslim etmiştir </w:t>
      </w:r>
      <w:r>
        <w:fldChar w:fldCharType="begin"/>
      </w:r>
      <w:r>
        <w:instrText xml:space="preserve"> HYPERLINK "https://docs.google.com/document/d/1xVsvPEU7gaFQWPygF-woirPVh_PBvvNS/edit"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2A973E2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 kapsamda 2025 yılı içerisinde “Topluma Hizmet Uygulamaları” dersi doğrultusunda gerçekleştirilen toplumsal katkı projelerinin bazıları; “Nar Çiçeği İlhamıyla Sevgi Dolu Bakım Rehberi”, “Fark Et, Erken Tanı Yaşam Kurtarır!”, “Erken Tanı, Sağlıklı Yaşam”, “Küçük Adımlar, Büyük Hijyen”, “Büyüyorum, Değişiyorum, Kendime İyi Bakıyorum!”, “Kadınlarda Bağımlılık”, “Bedenimi Tanıyorum Kendimi Koruyorum”, “Destekle Büyüyen Umutlu Bebekler”, “Doğum Ağrısını Hafifletmede Nonfarmakolojik ve Geleneksel Yöntemler Eğitimi”, “Sağlıklı Nesiller Bilinçli Annelerle Başlar”, “Fark Et Her Şey Değişsin” ve “Bakım Merkezindeki Menopozal Dönemdeki Kadınların Bilgilendirilmesi” projeleridir </w:t>
      </w:r>
      <w:r>
        <w:fldChar w:fldCharType="begin"/>
      </w:r>
      <w:r>
        <w:instrText xml:space="preserve"> HYPERLINK "https://docs.google.com/document/d/1xVsvPEU7gaFQWPygF-woirPVh_PBvvNS/edit?usp=drive_link&amp;ouid=115848456155956492407&amp;rtpof=true&amp;sd=true"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0737C67F">
      <w:pPr>
        <w:spacing w:before="240" w:after="240"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“Nar Çiçeği İlhamıyla Sevgi Dolu Bakım Rehberi” etkinliği kapsamında gebeliğinin üçüncü trimesterinde olan kadınlar ile 0–3 aylık bebeği bulunan lohusalara bir sağlık kurumunda yenidoğan bakımı ve emzirme odaklı interaktif eğitim verilmiştir. Yenidoğan bakımı, emzirme, yenidoğanın mide kapasitesi/beslenmesi, ağız-göz-kulak bakımı, alt bakımı ve göbek kordonu bakımı konuları ele alınmış; soru-cevap ile katılım güçlendirilmiştir. Uygulanan anket sonuçlarında emzirme pozisyonları, süt saklama koşulları, göbek kordonu bakımı ve bebeğin mide kapasitesi gibi başlıklarda eğitim sonrası bilgi düzeyinde anlamlı artış saptanmıştır </w:t>
      </w:r>
      <w:r>
        <w:fldChar w:fldCharType="begin"/>
      </w:r>
      <w:r>
        <w:instrText xml:space="preserve"> HYPERLINK "https://sbfebelik.ksu.edu.tr/Default.aspx?DId=102259"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01C69A55">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Fark Et, Erken Tanı Yaşam Kurtarır” etkinliğinde kırsal bölgede 15–49 yaş kadınlara yönelik hipertansiyon, obezite ve kanser konularında farkındalık çalışması yapılmıştır. Erken tanının önemi, sağlıklı beslenme ve düzenli tansiyon ölçümü vurgulanmış; katılımcıların tansiyon ölçümleri yapılmış, BKİ hesaplanarak değerlendirmeler paylaşılmıştır. Anket sonuçlarında hipertansiyon, kanser ve obeziteye ilişkin bilgi düzeylerinin eğitim sonrası yükseldiği belirlenmiştir </w:t>
      </w:r>
      <w:r>
        <w:fldChar w:fldCharType="begin"/>
      </w:r>
      <w:r>
        <w:instrText xml:space="preserve"> HYPERLINK "https://sbfebelik.ksu.edu.tr/Default.aspx?DId=102260"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3B1B5817">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“Erken Tanı, Sağlıklı Yaşam” etkinliğinde bir kız öğrenci yurdunda stant kurularak meme kanseri ve kendi kendine meme muayenesi farkındalık çalışması yürütülmüştür. Risk faktörleri, belirtiler ve erken teşhisin önemi; broşür, maket ve farkındalık materyalleri (pembe kurdele vb.) ile desteklenmiş, katılımcılar aktif sürece dahil edilmiştir. Değerlendirmede katılımcıların tamamında farkındalık artışı ve tarama/muayeneye yönelik olumlu tutumların belirgin şekilde arttığı saptanmıştır </w:t>
      </w:r>
      <w:r>
        <w:fldChar w:fldCharType="begin"/>
      </w:r>
      <w:r>
        <w:instrText xml:space="preserve"> HYPERLINK "https://sbfebelik.ksu.edu.tr/Default.aspx?DId=102263"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230F407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“Küçük Adımlar, Büyük Hijyen” etkinliğinde 5. sınıf kız öğrencilerine menstrüel hijyen eğitim verilmiş; doğru bilinen yanlışlar ele alınmış, görseller ve soru-cevap yöntemiyle öğrenme desteklenmiştir. Anketlerde eğitim öncesi bilgi yetersizliği ve yanlış inanışlar görülürken; eğitim sonrası ped değiştirme sıklığı, perine temizliği, uygun iç çamaşırı seçimi, adet döneminde banyo yapma gibi konularda yanlış bilgi oranlarında belirgin azalma tespit edilmiştir </w:t>
      </w:r>
      <w:r>
        <w:fldChar w:fldCharType="begin"/>
      </w:r>
      <w:r>
        <w:instrText xml:space="preserve"> HYPERLINK "https://sbfebelik.ksu.edu.tr/Default.aspx?DId=102264"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1B28614F">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“Büyüyorum, Gelişiyorum, Kendime İyi Bakıyorum” etkinliğinde ortaokul ve lise düzeyinde kız ve erkek öğrencilere hijyen eğitimi, kız öğrencilere ayrıca ergenlik dönemi ve bedensel değişimler hakkında bilgilendirme yapılmıştır. Eğitimler üç hafta boyunca planlı yürütülmüş; her eğitim öncesi ve sonrası anketlerle değerlendirme yapılmış ve eğitim sonrası öğrencilerin hijyen/bedensel değişimler konusunda bilgi düzeylerinin arttığı belirlenmiştir </w:t>
      </w:r>
      <w:r>
        <w:fldChar w:fldCharType="begin"/>
      </w:r>
      <w:r>
        <w:instrText xml:space="preserve"> HYPERLINK "https://sbfebelik.ksu.edu.tr/Default.aspx?DId=102266"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7729CBE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“Kadınlarda Madde Bağımlılığı Farkındalığı” etkinliği Kahramanmaraş’ta bir hastanede Yeşilay iş birliği ile yürütülmüş; kadınlara madde bağımlılığının psikolojik, fiziksel, sosyal ve ruhsal etkileri aktarılmıştır. Bağımlılığın yenidoğan ve aile bireyleri üzerindeki etkileri açıklanmış, yanlış bilinen konular düzeltilmiştir. Farkındalık anketi sonuçları kadınların farkındalık düzeylerinde anlamlı artış olduğunu göstermiştir </w:t>
      </w:r>
      <w:r>
        <w:fldChar w:fldCharType="begin"/>
      </w:r>
      <w:r>
        <w:instrText xml:space="preserve"> HYPERLINK "https://sbfebelik.ksu.edu.tr/Default.aspx?DId=102267"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197FF2E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“Bedenimi Tanıyorum, Kendimi Koruyorum” etkinliğinde bir köy okulunda 9. ve 10. sınıf kız öğrencilere cinsel hijyen, menstrüasyon ve menstrüel hijyen eğitimi verilmiştir. Görseller, broşürler ve anketlerle desteklenen eğitimler soru-cevap yöntemi ile pekiştirilmiş; anketlerde öğrencilerin bilgi düzeyinin anlamlı biçimde arttığı belirlenmiştir </w:t>
      </w:r>
      <w:r>
        <w:fldChar w:fldCharType="begin"/>
      </w:r>
      <w:r>
        <w:instrText xml:space="preserve"> HYPERLINK "https://sbfebelik.ksu.edu.tr/Default.aspx?DId=102268"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5C95376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“Destekle Büyüyen Umutlu Bebekler” etkinliğinde bir aile sağlığı merkezinde kadınlara emzirme eğitimi verilmiş; eğitim öncesi ve sonrası değerlendirme anketleri uygulanmıştır. Katılımcılara bebek bezi, ıslak mendil, bebek kıyafeti ve hijyenik ped içeren hediye paketleri dağıtılmış; anket sonuçlarında emzirme bilgi ve tutumlarında anlamlı artış saptanmıştır </w:t>
      </w:r>
      <w:r>
        <w:fldChar w:fldCharType="begin"/>
      </w:r>
      <w:r>
        <w:instrText xml:space="preserve"> HYPERLINK "https://sbfebelik.ksu.edu.tr/Default.aspx?DId=102269"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637AE41F">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“Doğum Ağrısını Hafifletmede Non-Farmakolojik ve Geleneksel Yöntemler” etkinliğinde gebe okulundaki kadınlara doğum ağrısını azaltmada kullanılan yöntemler PowerPoint sunusu ile anlatılmış; nefes egzersizleri, masaj gibi teknikler uygulamalı gösterilmiştir. Ön-son değerlendirme formlarında eğitim öncesi doğru yanıt oranı %56 iken eğitim sonrası doğru yanıt oranının %100’e ulaştığı belirlenmiştir </w:t>
      </w:r>
      <w:r>
        <w:fldChar w:fldCharType="begin"/>
      </w:r>
      <w:r>
        <w:instrText xml:space="preserve"> HYPERLINK "https://sbfebelik.ksu.edu.tr/Default.aspx?DId=102270"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7C8E6F9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“Sağlıklı Nesiller Bilinçli Annelerle Başlar” etkinliğinde gebelik planlayan kadınlara dijital ortamda bireysel danışmanlık verilmiş; prekonsepsiyonel eğitim öncesi/sonrası anketlerle değerlendirme yapılmıştır. Sonuçlarda folik asit kullanımı, kan tahlili yaptırma ve jinekolojik muayenenin önemi konularında tam farkındalık düzeyine ulaşıldığı; sigarayı bırakma, kilo kontrolü ve kronik hastalık takibi başlıklarında sağlıklı yaşam bilincinin güçlendiği görülmüştür. Katılımcı geri bildirimleri eğitimin akıcı ve anlaşılır olduğunu göstermiştir </w:t>
      </w:r>
      <w:r>
        <w:fldChar w:fldCharType="begin"/>
      </w:r>
      <w:r>
        <w:instrText xml:space="preserve"> HYPERLINK "https://sbfebelik.ksu.edu.tr/Default.aspx?DId=102270"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7F5B2CF8">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“Fark Et, Her Şey Değişsin” etkinliğinde sağlık kurumlarına erişimi zor olan kırsal bölgelerde yaşayan kadınlara meme kanseri farkındalığı ve kendi kendine meme muayenesi eğitimi verilmiştir. Eğitimler köy evlerinde yüz yüze; ulaşılamayan kadınlara çevrimiçi toplantılarla; ayrıca bir yurtta kalan kız öğrencilere yüz yüze yürütülmüştür. Uygulamalar sonucunda kadınların ve kız öğrencilerin farkındalık ve bilgi düzeylerinde artış gözlenmiştir </w:t>
      </w:r>
      <w:r>
        <w:fldChar w:fldCharType="begin"/>
      </w:r>
      <w:r>
        <w:instrText xml:space="preserve"> HYPERLINK "https://sbfebelik.ksu.edu.tr/Default.aspx?DId=102272"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67D92CE3">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“Bakım Merkezlerinde Menopoz Eğitimi” etkinliğinde bakım merkezlerinde kalan yaşlı bireylere menopoz süreci hakkında bilgilendirme yapılmış; sohbet ortamında katılımcı soruları yanıtlanmıştır. Analiz sonuçlarında menopozun tanımı/yaşı, belirtiler, kemik sağlığı, duygusal baş etme yöntemleri ile genel hijyen ve kişisel bakım başlıklarında doğru cevap oranlarının yüksekliği ve eğitim sonrası bilgi düzeyinde belirgin artış olduğu saptanmıştır </w:t>
      </w:r>
      <w:r>
        <w:fldChar w:fldCharType="begin"/>
      </w:r>
      <w:r>
        <w:instrText xml:space="preserve"> HYPERLINK "https://sbfebelik.ksu.edu.tr/Default.aspx?DId=102273"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119BF7F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Bu toplumsal katkı faaliyetlerinin izlenmesi ve değerlendirilmesi adına; etkinliklerin planlama-uygulama-raporlama süreçleri kayıt altına alınmakta, ön test-son test/anketler ve katılımcı geri bildirimleri aracılığıyla her faaliyet sonrası ölçüm yapılmakta ve elde edilen sonuçlar doğrultusunda bir sonraki dönem için içerik, yöntem ve hedef kitle planlamaları iyileştirilerek güncellenmektedir </w:t>
      </w:r>
      <w:r>
        <w:fldChar w:fldCharType="begin"/>
      </w:r>
      <w:r>
        <w:instrText xml:space="preserve"> HYPERLINK "https://docs.google.com/document/d/1tKERwSL8aqhjn9zC-Aic3Ge4ZXpC71p-g6yxrGk1C58/edit?usp=drive_link"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w:t>
      </w:r>
    </w:p>
    <w:p w14:paraId="278500C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Bölümümüzde toplumsal katkı faaliyetlerinin kurumsal bir yapı ile yürütülmesini sağlamak amacıyla Bilimsel/Sosyal ve Kültürel Faaliyetler Komisyonu oluşturulmuştur. Bunun yanı sıra, Umay Ebelik Öğrenci Topluluğu aktif olarak çalışmalarını sürdürmekte; öğrenci topluluğu ile komisyon işbirliğinde toplumsal katkıya yönelik etkinlikler planlanmakta ve gerçekleştirilen faaliyetler bölümün web adresi üzerinden kamuoyu ile paylaşılmaktadır. Yıl içinde öğrenci topluluğu tarafından 5 etkinlik yürütülmüştür </w:t>
      </w:r>
      <w:r>
        <w:fldChar w:fldCharType="begin"/>
      </w:r>
      <w:r>
        <w:instrText xml:space="preserve"> HYPERLINK "https://docs.google.com/document/d/1d96vrhgaz7k0-iJSWBTatTKjW4cwfVJd/edit?usp=drive_link&amp;ouid=115848456155956492407&amp;rtpof=true&amp;sd=true"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347C56D2">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Bölümümüzde toplumsal katkı süreçlerinin koordinasyonunu sağlamak üzere Bilimsel/Sosyal ve Kültürel Faaliyetler Komisyonu kurulmuştur. Ayrıca bölümümüzde Umay Ebelik Öğrenci Topluluğu aktif olarak çalışmalarını sürdürmektedir. Topluluğun amaçları; ebelik öğrencileri arasındaki mesleki etkileşimi ve aidiyeti artırmak, ebelik mesleğinin tanınırlığını geliştirmek, toplum gruplarını bilinçlendirmek, öğrencilerin bilgi-becerilerini artırmaya yönelik eğitimler planlamak ve farklı üniversitelerdeki ebelik topluluklarıyla etkileşimi güçlendirmektir. Topluluğun vizyonu ise; ebelik mesleğini benimseyerek bilimsel etkinlikler ve toplum sağlığını korumaya/yaşam kalitesini yükseltmeye yönelik çalışmalarla toplumun sağlık düzeyinin gelişimine katkı sunacak ebelerin yetişmesine destek olmaktır. Topluluk danışmanı: Dr. Öğr. Üyesi Hülya Kamalak; topluluk başkanı: Kadriye Sena Dadlı.</w:t>
      </w:r>
      <w:r>
        <w:fldChar w:fldCharType="begin"/>
      </w:r>
      <w:r>
        <w:instrText xml:space="preserve"> HYPERLINK "https://otyb.ksu.edu.tr/Default.aspx?SId=32124"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211B7F6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Bu doğrultuda 2025 yılı içinde Umay Ebelik Öğrenci Topluluğu ve bölüm paydaşları iş birliğiyle yürütülen toplumsal katkı faaliyetlerinden bazıları aşağıda detaylandırılmıştır</w:t>
      </w:r>
      <w:r>
        <w:fldChar w:fldCharType="begin"/>
      </w:r>
      <w:r>
        <w:instrText xml:space="preserve"> HYPERLINK "https://docs.google.com/document/d/1d96vrhgaz7k0-iJSWBTatTKjW4cwfVJd/edit" \h </w:instrText>
      </w:r>
      <w:r>
        <w:fldChar w:fldCharType="separate"/>
      </w:r>
      <w:r>
        <w:rPr>
          <w:rFonts w:ascii="Times New Roman" w:hAnsi="Times New Roman" w:eastAsia="Times New Roman" w:cs="Times New Roman"/>
          <w:color w:val="1155CC"/>
          <w:sz w:val="24"/>
          <w:szCs w:val="24"/>
          <w:u w:val="single"/>
        </w:rPr>
        <w:t xml:space="preserve"> (OD3).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21–28 Nisan Ulusal Ebeler Haftası Özel Programı (Radyo KSÜ): 25 Nisan 2025 Cuma günü saat 16.30’da Radyo KSÜ’de gerçekleşen programda KSÜ Sağlık Bilimleri Fakültesi Ebelik Bölüm Başkanı Doç. Dr. Aysel Bülez konuşmacı olmuş; Nisanur Şanal ve Reyyan Ağdeniz moderatörlük yapmıştır </w:t>
      </w:r>
      <w:r>
        <w:fldChar w:fldCharType="begin"/>
      </w:r>
      <w:r>
        <w:instrText xml:space="preserve"> HYPERLINK "https://www.ksu.edu.tr/Default.aspx?DId=89826" \h </w:instrText>
      </w:r>
      <w:r>
        <w:fldChar w:fldCharType="separate"/>
      </w:r>
      <w:r>
        <w:rPr>
          <w:rFonts w:ascii="Times New Roman" w:hAnsi="Times New Roman" w:eastAsia="Times New Roman" w:cs="Times New Roman"/>
          <w:color w:val="1155CC"/>
          <w:sz w:val="24"/>
          <w:szCs w:val="24"/>
          <w:u w:val="single"/>
        </w:rPr>
        <w:t xml:space="preserve"> (OD3).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5 Mayıs Dünya Ebeler Günü Etkinliği: “Aile Yılında Ebeliğin Güçlendirilmesi” sloganıyla hazırlanan program 02.05.2025 tarihinde 09.00–12.00 saatleri arasında KSÜ Kongre Merkezi Kahverengi Salon’da yapılmıştır </w:t>
      </w:r>
      <w:r>
        <w:fldChar w:fldCharType="begin"/>
      </w:r>
      <w:r>
        <w:instrText xml:space="preserve"> HYPERLINK "https://www.ksu.edu.tr/Default.aspx?DId=90919" \h </w:instrText>
      </w:r>
      <w:r>
        <w:fldChar w:fldCharType="separate"/>
      </w:r>
      <w:r>
        <w:rPr>
          <w:rFonts w:ascii="Times New Roman" w:hAnsi="Times New Roman" w:eastAsia="Times New Roman" w:cs="Times New Roman"/>
          <w:color w:val="1155CC"/>
          <w:sz w:val="24"/>
          <w:szCs w:val="24"/>
          <w:u w:val="single"/>
        </w:rPr>
        <w:t xml:space="preserve"> (OD3).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Dünya Menopoz Günü Programı (Radyo KSÜ): 18 Ekim 2025 Cumartesi günü saat 16.45’te Radyo KSÜ’de, Dr. Öğr. Üyesi Hülya Kamalak’ın konuk olduğu programda; moderatör Kadriye Sena Dadlı dinleyici sorularını yöneltmiş ve menopoz konusunda bilgilendirme yapılmıştır </w:t>
      </w:r>
      <w:r>
        <w:fldChar w:fldCharType="begin"/>
      </w:r>
      <w:r>
        <w:instrText xml:space="preserve"> HYPERLINK "https://sbfebelik.ksu.edu.tr/default.aspx?DId=100086"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 Umay Ebelik Öğrenci Topluluğu Tanıtım Günleri ve Farkındalık Çalışması: 23.10.2025 Perşembe günü 09.00–15.00 saatleri arasında fakülte girişinde tanıtım etkinliği yürütülmüş; aynı zamanda Meme Kanseri Farkındalık Ayı kapsamında katılımcılara pembe kurdele takılarak “kendi kendine meme muayenesi ve anormal durumda izlenecek adımlar” konusunda bilgilendirme yapılmıştır. Aynı gün saat 15.00’ten sonra Sinan Daşçı Konferans Salonu’nda ebelik mesleğini anlatan “Sages Femmes” film gösterimi düzenlenmiştir. </w:t>
      </w:r>
      <w:r>
        <w:fldChar w:fldCharType="begin"/>
      </w:r>
      <w:r>
        <w:instrText xml:space="preserve"> HYPERLINK "https://www.ksu.edu.tr/Default.aspx?DId=100176"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19.12.2025 Cuma günü saat 20.00’da Google Meet üzerinden gerçekleştirilen CV Hazırlama Eğitimi eğitimde konuşmacı İnsan Kaynakları Uzmanı Dilan Kaya, CV hazırlama konusunda detaylı bilgilendirme yapmış; etkinlikte moderatör Leyla Kesgingöz öğrencilerden gelen soruları ileterek soru-cevap bölümü yürütmüştür. Program sonunda konuşmacıya teşekkür belgesi takdim edilmiştir </w:t>
      </w:r>
      <w:r>
        <w:fldChar w:fldCharType="begin"/>
      </w:r>
      <w:r>
        <w:instrText xml:space="preserve"> HYPERLINK "https://www.ksu.edu.tr/Default.aspx?DId=101580"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r>
        <w:fldChar w:fldCharType="begin"/>
      </w:r>
      <w:r>
        <w:instrText xml:space="preserve"> HYPERLINK "https://www.ksu.edu.tr/Default.aspx?DId=101580" \h </w:instrText>
      </w:r>
      <w:r>
        <w:fldChar w:fldCharType="separate"/>
      </w:r>
      <w:r>
        <w:rPr>
          <w:rFonts w:ascii="Times New Roman" w:hAnsi="Times New Roman" w:eastAsia="Times New Roman" w:cs="Times New Roman"/>
          <w:b/>
          <w:bCs/>
          <w:color w:val="1155CC"/>
          <w:sz w:val="24"/>
          <w:szCs w:val="24"/>
          <w:u w:val="single"/>
        </w:rPr>
        <w:t xml:space="preserve"> </w:t>
      </w:r>
      <w:r>
        <w:rPr>
          <w:rFonts w:ascii="Times New Roman" w:hAnsi="Times New Roman" w:eastAsia="Times New Roman" w:cs="Times New Roman"/>
          <w:b/>
          <w:bCs/>
          <w:color w:val="1155CC"/>
          <w:sz w:val="24"/>
          <w:szCs w:val="24"/>
          <w:u w:val="single"/>
        </w:rPr>
        <w:fldChar w:fldCharType="end"/>
      </w:r>
    </w:p>
    <w:p w14:paraId="36F4108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Toplumsal katkının izlenmesi ve değerlendirilmesi adına, yürütülen faaliyetlerin planlama-uygulama-raporlama süreçleri kayıt altına alınmakta; iç ve dış paydaş katılımının güçlendirilmesine yönelik geri bildirim mekanizmaları işletilmekte ve elde edilen bulgular doğrultusunda bir sonraki dönem faaliyet planları güncellenerek iyileştirme çalışmaları sürdürülmektedir </w:t>
      </w:r>
      <w:r>
        <w:fldChar w:fldCharType="begin"/>
      </w:r>
      <w:r>
        <w:instrText xml:space="preserve"> HYPERLINK "https://docs.google.com/document/d/1px5j90MxfHR7CNmuSLqPkJN9gWLFwBYyxl9aH9tmfu4/edit?usp=drive_link" \h </w:instrText>
      </w:r>
      <w:r>
        <w:fldChar w:fldCharType="separate"/>
      </w:r>
      <w:r>
        <w:rPr>
          <w:rFonts w:ascii="Times New Roman" w:hAnsi="Times New Roman" w:eastAsia="Times New Roman" w:cs="Times New Roman"/>
          <w:color w:val="1155CC"/>
          <w:sz w:val="24"/>
          <w:szCs w:val="24"/>
          <w:u w:val="single"/>
        </w:rPr>
        <w:t>(OD3).</w:t>
      </w:r>
      <w:r>
        <w:rPr>
          <w:rFonts w:ascii="Times New Roman" w:hAnsi="Times New Roman" w:eastAsia="Times New Roman" w:cs="Times New Roman"/>
          <w:color w:val="1155CC"/>
          <w:sz w:val="24"/>
          <w:szCs w:val="24"/>
          <w:u w:val="single"/>
        </w:rPr>
        <w:fldChar w:fldCharType="end"/>
      </w:r>
    </w:p>
    <w:p w14:paraId="0355B492">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p w14:paraId="7C9849CE">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r>
        <w:rPr>
          <w:rFonts w:ascii="Times New Roman" w:hAnsi="Times New Roman" w:cs="Times New Roman"/>
          <w:color w:val="4472C4" w:themeColor="accent1"/>
          <w:sz w:val="24"/>
          <w:szCs w:val="24"/>
          <w:u w:val="single"/>
          <w14:textFill>
            <w14:solidFill>
              <w14:schemeClr w14:val="accent1"/>
            </w14:solidFill>
          </w14:textFill>
        </w:rPr>
        <w:t>D. TOPLUMSAL KATKI SAĞLIK BİLİMLERİ FAKÜLTESİ OLGUNLUK DÜZEYİ</w:t>
      </w:r>
    </w:p>
    <w:p w14:paraId="26320B16">
      <w:pPr>
        <w:pStyle w:val="2"/>
        <w:spacing w:line="360" w:lineRule="auto"/>
        <w:rPr>
          <w:rFonts w:ascii="Times New Roman" w:hAnsi="Times New Roman" w:cs="Times New Roman"/>
          <w:color w:val="4472C4" w:themeColor="accent1"/>
          <w:sz w:val="24"/>
          <w:szCs w:val="24"/>
          <w:u w:val="single"/>
          <w14:textFill>
            <w14:solidFill>
              <w14:schemeClr w14:val="accent1"/>
            </w14:solidFill>
          </w14:textFill>
        </w:rPr>
      </w:pPr>
    </w:p>
    <w:tbl>
      <w:tblPr>
        <w:tblStyle w:val="9"/>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6516"/>
        <w:gridCol w:w="2970"/>
      </w:tblGrid>
      <w:tr w14:paraId="166F537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tcPr>
          <w:p w14:paraId="48379D50">
            <w:pPr>
              <w:jc w:val="center"/>
              <w:rPr>
                <w:rFonts w:ascii="Times New Roman" w:hAnsi="Times New Roman" w:eastAsia="Times New Roman" w:cs="Times New Roman"/>
                <w:sz w:val="24"/>
                <w:szCs w:val="24"/>
              </w:rPr>
            </w:pPr>
          </w:p>
        </w:tc>
        <w:tc>
          <w:tcPr>
            <w:tcW w:w="2970" w:type="dxa"/>
            <w:tcBorders>
              <w:top w:val="single" w:color="auto" w:sz="8" w:space="0"/>
              <w:left w:val="single" w:color="auto" w:sz="8" w:space="0"/>
              <w:bottom w:val="single" w:color="auto" w:sz="8" w:space="0"/>
              <w:right w:val="single" w:color="auto" w:sz="8" w:space="0"/>
            </w:tcBorders>
          </w:tcPr>
          <w:p w14:paraId="713ABC3F">
            <w:pPr>
              <w:jc w:val="center"/>
            </w:pPr>
            <w:r>
              <w:rPr>
                <w:rFonts w:ascii="Times New Roman" w:hAnsi="Times New Roman" w:eastAsia="Times New Roman" w:cs="Times New Roman"/>
                <w:b/>
                <w:bCs/>
                <w:sz w:val="24"/>
                <w:szCs w:val="24"/>
              </w:rPr>
              <w:t>Olgunluk Düzeyi</w:t>
            </w:r>
            <w:r>
              <w:rPr>
                <w:rFonts w:ascii="Times New Roman" w:hAnsi="Times New Roman" w:eastAsia="Times New Roman" w:cs="Times New Roman"/>
                <w:sz w:val="24"/>
                <w:szCs w:val="24"/>
              </w:rPr>
              <w:t xml:space="preserve"> </w:t>
            </w:r>
          </w:p>
        </w:tc>
      </w:tr>
      <w:tr w14:paraId="69B1B5E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17470B61">
            <w:pPr>
              <w:pStyle w:val="3"/>
              <w:spacing w:line="360" w:lineRule="auto"/>
              <w:rPr>
                <w:sz w:val="22"/>
                <w:szCs w:val="22"/>
              </w:rPr>
            </w:pPr>
            <w:r>
              <w:rPr>
                <w:sz w:val="22"/>
                <w:szCs w:val="22"/>
              </w:rPr>
              <w:t xml:space="preserve">D.1. Toplumsal Katkı Süreçlerinin Yönetimi ve Toplumsal Katkı Kaynakları </w:t>
            </w:r>
          </w:p>
        </w:tc>
        <w:tc>
          <w:tcPr>
            <w:tcW w:w="297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2DD9A2CE">
            <w:pPr>
              <w:jc w:val="center"/>
            </w:pPr>
          </w:p>
        </w:tc>
      </w:tr>
      <w:tr w14:paraId="524B491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tcPr>
          <w:p w14:paraId="07C07942">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D.1.1. Toplumsal katkı süreçlerinin yönetimi </w:t>
            </w:r>
          </w:p>
        </w:tc>
        <w:tc>
          <w:tcPr>
            <w:tcW w:w="2970" w:type="dxa"/>
            <w:tcBorders>
              <w:top w:val="single" w:color="auto" w:sz="8" w:space="0"/>
              <w:left w:val="single" w:color="auto" w:sz="8" w:space="0"/>
              <w:bottom w:val="single" w:color="auto" w:sz="8" w:space="0"/>
              <w:right w:val="single" w:color="auto" w:sz="8" w:space="0"/>
            </w:tcBorders>
          </w:tcPr>
          <w:p w14:paraId="669A6414">
            <w:pPr>
              <w:jc w:val="center"/>
            </w:pPr>
            <w:r>
              <w:t>3</w:t>
            </w:r>
          </w:p>
        </w:tc>
      </w:tr>
      <w:tr w14:paraId="034976D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tcPr>
          <w:p w14:paraId="49A8A925">
            <w:pPr>
              <w:spacing w:line="360" w:lineRule="auto"/>
              <w:jc w:val="both"/>
              <w:rPr>
                <w:rFonts w:ascii="Times New Roman" w:hAnsi="Times New Roman" w:eastAsia="Times New Roman" w:cs="Times New Roman"/>
              </w:rPr>
            </w:pPr>
            <w:r>
              <w:rPr>
                <w:rFonts w:ascii="Times New Roman" w:hAnsi="Times New Roman" w:eastAsia="Times New Roman" w:cs="Times New Roman"/>
              </w:rPr>
              <w:t>D.1.2. Kaynaklar</w:t>
            </w:r>
          </w:p>
        </w:tc>
        <w:tc>
          <w:tcPr>
            <w:tcW w:w="2970" w:type="dxa"/>
            <w:tcBorders>
              <w:top w:val="single" w:color="auto" w:sz="8" w:space="0"/>
              <w:left w:val="single" w:color="auto" w:sz="8" w:space="0"/>
              <w:bottom w:val="single" w:color="auto" w:sz="8" w:space="0"/>
              <w:right w:val="single" w:color="auto" w:sz="8" w:space="0"/>
            </w:tcBorders>
          </w:tcPr>
          <w:p w14:paraId="6F42C494">
            <w:pPr>
              <w:jc w:val="center"/>
            </w:pPr>
            <w:r>
              <w:t>3</w:t>
            </w:r>
          </w:p>
        </w:tc>
      </w:tr>
      <w:tr w14:paraId="0FE1242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3CA2808B">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D.2. Toplumsal Katkı Performansı</w:t>
            </w:r>
          </w:p>
        </w:tc>
        <w:tc>
          <w:tcPr>
            <w:tcW w:w="2970" w:type="dxa"/>
            <w:tcBorders>
              <w:top w:val="single" w:color="auto" w:sz="8" w:space="0"/>
              <w:left w:val="single" w:color="auto" w:sz="8" w:space="0"/>
              <w:bottom w:val="single" w:color="auto" w:sz="8" w:space="0"/>
              <w:right w:val="single" w:color="auto" w:sz="8" w:space="0"/>
            </w:tcBorders>
            <w:shd w:val="clear" w:color="auto" w:fill="F7CAAC" w:themeFill="accent2" w:themeFillTint="66"/>
          </w:tcPr>
          <w:p w14:paraId="4C46261E">
            <w:pPr>
              <w:jc w:val="center"/>
            </w:pPr>
          </w:p>
        </w:tc>
      </w:tr>
      <w:tr w14:paraId="026EA6F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516" w:type="dxa"/>
            <w:tcBorders>
              <w:top w:val="single" w:color="auto" w:sz="8" w:space="0"/>
              <w:left w:val="single" w:color="auto" w:sz="8" w:space="0"/>
              <w:bottom w:val="single" w:color="auto" w:sz="8" w:space="0"/>
              <w:right w:val="single" w:color="auto" w:sz="8" w:space="0"/>
            </w:tcBorders>
          </w:tcPr>
          <w:p w14:paraId="4FF5DA81">
            <w:pPr>
              <w:rPr>
                <w:rFonts w:ascii="Times New Roman" w:hAnsi="Times New Roman" w:eastAsia="Times New Roman" w:cs="Times New Roman"/>
                <w:sz w:val="24"/>
                <w:szCs w:val="24"/>
              </w:rPr>
            </w:pPr>
            <w:r>
              <w:rPr>
                <w:rFonts w:ascii="Times New Roman" w:hAnsi="Times New Roman" w:eastAsia="Times New Roman" w:cs="Times New Roman"/>
                <w:sz w:val="24"/>
                <w:szCs w:val="24"/>
              </w:rPr>
              <w:t>D.2.1.Toplumsal katkı performansının izlenmesi ve değerlendirilmesi</w:t>
            </w:r>
          </w:p>
        </w:tc>
        <w:tc>
          <w:tcPr>
            <w:tcW w:w="2970" w:type="dxa"/>
            <w:tcBorders>
              <w:top w:val="single" w:color="auto" w:sz="8" w:space="0"/>
              <w:left w:val="single" w:color="auto" w:sz="8" w:space="0"/>
              <w:bottom w:val="single" w:color="auto" w:sz="8" w:space="0"/>
              <w:right w:val="single" w:color="auto" w:sz="8" w:space="0"/>
            </w:tcBorders>
          </w:tcPr>
          <w:p w14:paraId="64DED316">
            <w:pPr>
              <w:jc w:val="center"/>
              <w:rPr>
                <w:rFonts w:hint="default" w:ascii="Times New Roman" w:hAnsi="Times New Roman" w:eastAsia="Times New Roman" w:cs="Times New Roman"/>
                <w:b/>
                <w:bCs/>
                <w:sz w:val="24"/>
                <w:szCs w:val="24"/>
                <w:lang w:val="tr-TR"/>
              </w:rPr>
            </w:pPr>
            <w:r>
              <w:rPr>
                <w:rFonts w:hint="default" w:ascii="Times New Roman" w:hAnsi="Times New Roman" w:eastAsia="Times New Roman" w:cs="Times New Roman"/>
                <w:b/>
                <w:bCs/>
                <w:sz w:val="24"/>
                <w:szCs w:val="24"/>
                <w:lang w:val="tr-TR"/>
              </w:rPr>
              <w:t>4</w:t>
            </w:r>
          </w:p>
        </w:tc>
      </w:tr>
    </w:tbl>
    <w:p w14:paraId="5E04D609">
      <w:pPr>
        <w:rPr>
          <w:rFonts w:ascii="Times New Roman" w:hAnsi="Times New Roman" w:cs="Times New Roman"/>
          <w:b/>
          <w:sz w:val="24"/>
          <w:szCs w:val="24"/>
        </w:rPr>
        <w:sectPr>
          <w:headerReference r:id="rId9" w:type="default"/>
          <w:footerReference r:id="rId10" w:type="default"/>
          <w:pgSz w:w="11906" w:h="16838"/>
          <w:pgMar w:top="720" w:right="720" w:bottom="720" w:left="720" w:header="0" w:footer="998" w:gutter="0"/>
          <w:cols w:space="708" w:num="1"/>
          <w:docGrid w:linePitch="299" w:charSpace="0"/>
        </w:sectPr>
      </w:pPr>
      <w:r>
        <w:rPr>
          <w:rFonts w:ascii="Times New Roman" w:hAnsi="Times New Roman" w:cs="Times New Roman"/>
          <w:b/>
          <w:sz w:val="24"/>
          <w:szCs w:val="24"/>
        </w:rPr>
        <w:br w:type="page"/>
      </w:r>
    </w:p>
    <w:p w14:paraId="3EFCD6D3">
      <w:pPr>
        <w:pStyle w:val="21"/>
        <w:keepNext w:val="0"/>
        <w:keepLines w:val="0"/>
        <w:widowControl/>
        <w:suppressLineNumbers w:val="0"/>
        <w:rPr>
          <w:rFonts w:hint="default"/>
          <w:b/>
          <w:bCs/>
          <w:lang w:val="tr-TR"/>
        </w:rPr>
      </w:pPr>
      <w:r>
        <w:rPr>
          <w:rFonts w:hint="default"/>
          <w:b/>
          <w:bCs/>
          <w:lang w:val="tr-TR"/>
        </w:rPr>
        <w:t>SONUÇ</w:t>
      </w:r>
    </w:p>
    <w:p w14:paraId="202322D1">
      <w:pPr>
        <w:pStyle w:val="21"/>
        <w:keepNext w:val="0"/>
        <w:keepLines w:val="0"/>
        <w:widowControl/>
        <w:suppressLineNumbers w:val="0"/>
        <w:spacing w:line="360" w:lineRule="auto"/>
        <w:jc w:val="both"/>
      </w:pPr>
      <w:r>
        <w:rPr>
          <w:rFonts w:hint="default"/>
          <w:lang w:val="tr-TR"/>
        </w:rPr>
        <w:t>F</w:t>
      </w:r>
      <w:r>
        <w:t>akültenin liderlik ve yönetişim kapasitesi, dijitalleşen sağlık ekosistemine uyum sağlayan çevik yönetim modeli ve akreditasyon odaklı kalite kültürüyle en güçlü dönemlerinden birini yaşamaktadır. Özellikle iç kalite güvencesi mekanizmalarının tüm birimlere yayılmış olması ve süreçlerin veri temelli takip edilmesi kurumsal olgunluğu artırmaktadır. Ancak, idari süreçlerdeki kullanıcı memnuniyetinin akademik başarının bir miktar gerisinde kalması ve birimler arasındaki kalite döngüsü farkları, kurumsal bütünlüğün tam tesisi için iyileştirilmesi gereken alanlar olarak öne çıkmaktadır. Gelecek projeksiyonunda, YÖKAK standartları çerçevesinde tüm programların akreditasyon kapsamına alınması büyük bir fırsat sunarken, personel sirkülasyonu ve hızlı değişen mevzuat yapısı yönetsel sürdürülebilirlik açısından dikkatle izlenmesi gereken birer risk faktörü oluşturmaktadır.</w:t>
      </w:r>
    </w:p>
    <w:p w14:paraId="476F3D07">
      <w:pPr>
        <w:pStyle w:val="21"/>
        <w:keepNext w:val="0"/>
        <w:keepLines w:val="0"/>
        <w:widowControl/>
        <w:suppressLineNumbers w:val="0"/>
        <w:spacing w:line="360" w:lineRule="auto"/>
        <w:jc w:val="both"/>
      </w:pPr>
      <w:r>
        <w:t>Eğitim-öğretim faaliyetlerinde, ulusal çekirdek programlarla sağlanan tam uyum ve müfredata entegre edilen simülasyon temelli öğrenme modelleri, fakültenin akademik rekabet gücünü perçinlemektedir. Öğrencilerin mesleki danışmanlık ve ders içeriklerinin kariyerlerine katkısı konusundaki yüksek memnuniyeti, eğitim kalitesinin sahadaki karşılığını göstermektedir. Buna karşın, laboratuvar altyapısı ve fiziksel ortamların öğrenci beklentilerini tam olarak karşılayamaması, eğitim kalitesinin fiziksel imkanlarla desteklenmesi zorunluluğunu doğurmaktadır. Uluslararasılaşma vizyonu kapsamında kurulan Avrupa merkezli ikili iş birlikleri, öğrenci ve personel hareketliliği için geniş bir fırsat kapısı aralamaktadır; fakat bu süreçlerin aktif kullanımı için bilgilendirme mekanizmalarının daha etkin işletilmesi gerekmektedir.</w:t>
      </w:r>
    </w:p>
    <w:p w14:paraId="2700A4D2">
      <w:pPr>
        <w:pStyle w:val="21"/>
        <w:keepNext w:val="0"/>
        <w:keepLines w:val="0"/>
        <w:widowControl/>
        <w:suppressLineNumbers w:val="0"/>
        <w:spacing w:line="360" w:lineRule="auto"/>
        <w:jc w:val="both"/>
      </w:pPr>
      <w:r>
        <w:t>Araştırma-geliştirme ve toplumsal katkı boyutunda ise fakülte, özellikle 2023 depremi sonrası bölgenin öncelikli sağlık ihtiyaçlarına odaklanarak toplumsal bir rehber rolü üstlenmiştir. TÜBİTAK ve uluslararası hibe fonlarıyla desteklenen yüksek bütçeli projeler, mobil sağlık yazılımları ve sanal gerçeklik gibi ileri teknolojik araçlarla birleşerek güçlü bir Ar-Ge ekosistemi oluşturmuştur. Araştırma faaliyetlerinin tüm akademik kadroya yayılması ve projelerin uzun vadeli toplumsal etkilerinin sistematik olarak izlenmesi, kurumun mevcut zayıf noktalarını güçlendirecektir. Yerel yönetimlerle kurulan stratejik ortaklıklar ve toplumun sağlık okuryazarlığını artırmaya yönelik talebi, fakültenin etkisini sınıfların ötesine taşıyarak kurumsal özgünlüğünü pekiştirmektedir.</w:t>
      </w:r>
    </w:p>
    <w:p w14:paraId="035DD558">
      <w:pPr>
        <w:spacing w:line="360" w:lineRule="auto"/>
        <w:jc w:val="both"/>
        <w:rPr>
          <w:rFonts w:ascii="Times New Roman" w:hAnsi="Times New Roman" w:cs="Times New Roman"/>
          <w:b/>
          <w:sz w:val="24"/>
          <w:szCs w:val="24"/>
        </w:rPr>
      </w:pPr>
    </w:p>
    <w:p w14:paraId="0AB66847">
      <w:pPr>
        <w:spacing w:line="360" w:lineRule="auto"/>
        <w:jc w:val="both"/>
        <w:rPr>
          <w:rFonts w:ascii="Times New Roman" w:hAnsi="Times New Roman" w:cs="Times New Roman"/>
          <w:b/>
          <w:sz w:val="24"/>
          <w:szCs w:val="24"/>
        </w:rPr>
        <w:sectPr>
          <w:pgSz w:w="11906" w:h="16838"/>
          <w:pgMar w:top="720" w:right="720" w:bottom="720" w:left="720" w:header="0" w:footer="998" w:gutter="0"/>
          <w:cols w:space="708" w:num="1"/>
          <w:docGrid w:linePitch="299" w:charSpace="0"/>
        </w:sectPr>
      </w:pPr>
    </w:p>
    <w:p w14:paraId="00000BE8">
      <w:pPr>
        <w:tabs>
          <w:tab w:val="left" w:pos="1216"/>
        </w:tabs>
        <w:rPr>
          <w:rFonts w:ascii="CamberW04-Regular" w:hAnsi="CamberW04-Regular" w:eastAsia="CamberW04-Regular" w:cs="CamberW04-Regular"/>
        </w:rPr>
      </w:pPr>
      <w:r>
        <w:drawing>
          <wp:anchor distT="0" distB="0" distL="114300" distR="114300" simplePos="0" relativeHeight="251662336" behindDoc="0" locked="0" layoutInCell="1" allowOverlap="1">
            <wp:simplePos x="0" y="0"/>
            <wp:positionH relativeFrom="column">
              <wp:posOffset>-445135</wp:posOffset>
            </wp:positionH>
            <wp:positionV relativeFrom="paragraph">
              <wp:posOffset>-499745</wp:posOffset>
            </wp:positionV>
            <wp:extent cx="7532370" cy="10659110"/>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36" name="image5.png"/>
                    <pic:cNvPicPr preferRelativeResize="0"/>
                  </pic:nvPicPr>
                  <pic:blipFill>
                    <a:blip r:embed="rId17"/>
                    <a:srcRect/>
                    <a:stretch>
                      <a:fillRect/>
                    </a:stretch>
                  </pic:blipFill>
                  <pic:spPr>
                    <a:xfrm>
                      <a:off x="0" y="0"/>
                      <a:ext cx="7532435" cy="10659345"/>
                    </a:xfrm>
                    <a:prstGeom prst="rect">
                      <a:avLst/>
                    </a:prstGeom>
                  </pic:spPr>
                </pic:pic>
              </a:graphicData>
            </a:graphic>
          </wp:anchor>
        </w:drawing>
      </w:r>
    </w:p>
    <w:sectPr>
      <w:headerReference r:id="rId11" w:type="default"/>
      <w:footerReference r:id="rId12" w:type="default"/>
      <w:pgSz w:w="11906" w:h="16838"/>
      <w:pgMar w:top="720" w:right="720" w:bottom="720" w:left="720" w:header="0" w:footer="99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font>
  <w:font w:name="CamberW04-Regular">
    <w:altName w:val="Calibri"/>
    <w:panose1 w:val="00000000000000000000"/>
    <w:charset w:val="00"/>
    <w:family w:val="auto"/>
    <w:pitch w:val="default"/>
    <w:sig w:usb0="00000000" w:usb1="00000000" w:usb2="00000000" w:usb3="00000000" w:csb0="00000000" w:csb1="00000000"/>
  </w:font>
  <w:font w:name="Calibri Light">
    <w:panose1 w:val="020F0302020204030204"/>
    <w:charset w:val="A2"/>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A2"/>
    <w:family w:val="swiss"/>
    <w:pitch w:val="default"/>
    <w:sig w:usb0="E4002EFF" w:usb1="C000E47F" w:usb2="00000009" w:usb3="00000000" w:csb0="200001FF" w:csb1="00000000"/>
  </w:font>
  <w:font w:name="Cambria">
    <w:panose1 w:val="02040503050406030204"/>
    <w:charset w:val="A2"/>
    <w:family w:val="roman"/>
    <w:pitch w:val="default"/>
    <w:sig w:usb0="E00006FF" w:usb1="420024FF" w:usb2="02000000" w:usb3="00000000" w:csb0="2000019F" w:csb1="00000000"/>
  </w:font>
  <w:font w:name="Georgia">
    <w:panose1 w:val="02040502050405020303"/>
    <w:charset w:val="A2"/>
    <w:family w:val="roman"/>
    <w:pitch w:val="default"/>
    <w:sig w:usb0="00000287" w:usb1="00000000" w:usb2="00000000" w:usb3="00000000" w:csb0="2000009F" w:csb1="00000000"/>
  </w:font>
  <w:font w:name="Noto Sans Symbols">
    <w:altName w:val="Calibri"/>
    <w:panose1 w:val="00000000000000000000"/>
    <w:charset w:val="00"/>
    <w:family w:val="auto"/>
    <w:pitch w:val="default"/>
    <w:sig w:usb0="00000000" w:usb1="00000000" w:usb2="00000000" w:usb3="00000000" w:csb0="00000000" w:csb1="00000000"/>
  </w:font>
  <w:font w:name="Courier New">
    <w:panose1 w:val="02070309020205020404"/>
    <w:charset w:val="A2"/>
    <w:family w:val="modern"/>
    <w:pitch w:val="default"/>
    <w:sig w:usb0="E0002EFF" w:usb1="C0007843" w:usb2="00000009" w:usb3="00000000" w:csb0="400001FF" w:csb1="FFFF0000"/>
  </w:font>
  <w:font w:name="Arial">
    <w:panose1 w:val="020B0604020202020204"/>
    <w:charset w:val="A2"/>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amberW01-Light">
    <w:altName w:val="Calibri"/>
    <w:panose1 w:val="00000000000000000000"/>
    <w:charset w:val="00"/>
    <w:family w:val="auto"/>
    <w:pitch w:val="default"/>
    <w:sig w:usb0="00000000" w:usb1="00000000" w:usb2="00000000" w:usb3="00000000" w:csb0="00000000" w:csb1="00000000"/>
  </w:font>
  <w:font w:name="CamberW04-Medium">
    <w:altName w:val="Calibri"/>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UI Light">
    <w:panose1 w:val="020B0502040204020203"/>
    <w:charset w:val="00"/>
    <w:family w:val="auto"/>
    <w:pitch w:val="default"/>
    <w:sig w:usb0="E4002EFF" w:usb1="C000E47F" w:usb2="00000009" w:usb3="00000000" w:csb0="200001FF" w:csb1="00000000"/>
  </w:font>
  <w:font w:name="Segoe UI Emoji">
    <w:panose1 w:val="020B0502040204020203"/>
    <w:charset w:val="00"/>
    <w:family w:val="auto"/>
    <w:pitch w:val="default"/>
    <w:sig w:usb0="00000001" w:usb1="02000000" w:usb2="00000000" w:usb3="00000000" w:csb0="00000001"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A">
    <w:pPr>
      <w:spacing w:line="224" w:lineRule="auto"/>
      <w:ind w:left="20"/>
      <w:jc w:val="center"/>
      <w:rPr>
        <w:rFonts w:ascii="CamberW04-Regular" w:hAnsi="CamberW04-Regular" w:eastAsia="CamberW04-Regular" w:cs="CamberW04-Regular"/>
        <w:i/>
        <w:sz w:val="18"/>
        <w:szCs w:val="18"/>
      </w:rPr>
    </w:pPr>
    <w:r>
      <w:rPr>
        <w:rFonts w:ascii="CamberW04-Regular" w:hAnsi="CamberW04-Regular" w:eastAsia="CamberW04-Regular" w:cs="CamberW04-Regular"/>
        <w:i/>
        <w:sz w:val="18"/>
        <w:szCs w:val="18"/>
      </w:rPr>
      <w:t>Yükseköğretim Kalite Kurulu – Kurum İç Değerlendirme Raporu Hazırlama Kılavuzu (Sürüm 3.2.1 - 24/01/2025 )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8">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0380146"/>
      <w:docPartObj>
        <w:docPartGallery w:val="AutoText"/>
      </w:docPartObj>
    </w:sdtPr>
    <w:sdtContent>
      <w:p w14:paraId="0E062607">
        <w:pPr>
          <w:pStyle w:val="16"/>
          <w:jc w:val="center"/>
        </w:pPr>
        <w:r>
          <w:fldChar w:fldCharType="begin"/>
        </w:r>
        <w:r>
          <w:instrText xml:space="preserve">PAGE   \* MERGEFORMAT</w:instrText>
        </w:r>
        <w:r>
          <w:fldChar w:fldCharType="separate"/>
        </w:r>
        <w:r>
          <w:t>1</w:t>
        </w:r>
        <w:r>
          <w:fldChar w:fldCharType="end"/>
        </w:r>
      </w:p>
    </w:sdtContent>
  </w:sdt>
  <w:p w14:paraId="00000BF9">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B">
    <w:pPr>
      <w:spacing w:line="200" w:lineRule="auto"/>
      <w:rPr>
        <w:sz w:val="20"/>
        <w:szCs w:val="20"/>
      </w:rPr>
    </w:pPr>
    <w:r>
      <mc:AlternateContent>
        <mc:Choice Requires="wps">
          <w:drawing>
            <wp:anchor distT="0" distB="0" distL="0" distR="0" simplePos="0" relativeHeight="251660288" behindDoc="1" locked="0" layoutInCell="1" allowOverlap="1">
              <wp:simplePos x="0" y="0"/>
              <wp:positionH relativeFrom="column">
                <wp:posOffset>38100</wp:posOffset>
              </wp:positionH>
              <wp:positionV relativeFrom="paragraph">
                <wp:posOffset>0</wp:posOffset>
              </wp:positionV>
              <wp:extent cx="6010275" cy="266700"/>
              <wp:effectExtent l="0" t="0" r="0" b="0"/>
              <wp:wrapNone/>
              <wp:docPr id="33" name="Dikdörtgen 33"/>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14:paraId="03ED183E">
                          <w:pPr>
                            <w:spacing w:line="224" w:lineRule="auto"/>
                            <w:ind w:left="20" w:firstLine="20"/>
                          </w:pPr>
                        </w:p>
                      </w:txbxContent>
                    </wps:txbx>
                    <wps:bodyPr spcFirstLastPara="1" wrap="square" lIns="0" tIns="0" rIns="0" bIns="0" anchor="t" anchorCtr="0">
                      <a:noAutofit/>
                    </wps:bodyPr>
                  </wps:wsp>
                </a:graphicData>
              </a:graphic>
            </wp:anchor>
          </w:drawing>
        </mc:Choice>
        <mc:Fallback>
          <w:pict>
            <v:rect id="Dikdörtgen 33" o:spid="_x0000_s1026" o:spt="1" style="position:absolute;left:0pt;margin-left:3pt;margin-top:0pt;height:21pt;width:473.25pt;z-index:-251656192;mso-width-relative:page;mso-height-relative:page;" filled="f" stroked="f" coordsize="21600,21600" o:gfxdata="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Otxm1wAA&#10;AAUBAAAPAAAAAAAAAAEAIAAAACIAAABkcnMvZG93bnJldi54bWxQSwECFAAUAAAACACHTuJAMz7B&#10;oeYBAADCAwAADgAAAAAAAAABACAAAAAmAQAAZHJzL2Uyb0RvYy54bWxQSwUGAAAAAAYABgBZAQAA&#10;fgUAAAAA&#10;">
              <v:fill on="f" focussize="0,0"/>
              <v:stroke on="f"/>
              <v:imagedata o:title=""/>
              <o:lock v:ext="edit" aspectratio="f"/>
              <v:textbox inset="0mm,0mm,0mm,0mm">
                <w:txbxContent>
                  <w:p w14:paraId="03ED183E">
                    <w:pPr>
                      <w:spacing w:line="224" w:lineRule="auto"/>
                      <w:ind w:left="20" w:firstLine="20"/>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C">
    <w:pPr>
      <w:spacing w:line="200" w:lineRule="auto"/>
      <w:rPr>
        <w:sz w:val="20"/>
        <w:szCs w:val="20"/>
      </w:rPr>
    </w:pPr>
    <w:r>
      <mc:AlternateContent>
        <mc:Choice Requires="wps">
          <w:drawing>
            <wp:anchor distT="0" distB="0" distL="0" distR="0" simplePos="0" relativeHeight="251661312" behindDoc="1" locked="0" layoutInCell="1" allowOverlap="1">
              <wp:simplePos x="0" y="0"/>
              <wp:positionH relativeFrom="column">
                <wp:posOffset>38100</wp:posOffset>
              </wp:positionH>
              <wp:positionV relativeFrom="paragraph">
                <wp:posOffset>0</wp:posOffset>
              </wp:positionV>
              <wp:extent cx="6010275" cy="266700"/>
              <wp:effectExtent l="0" t="0" r="0" b="0"/>
              <wp:wrapNone/>
              <wp:docPr id="31" name="Dikdörtgen 31"/>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14:paraId="678A2D2E">
                          <w:pPr>
                            <w:spacing w:line="224" w:lineRule="auto"/>
                            <w:ind w:left="20" w:firstLine="20"/>
                          </w:pPr>
                        </w:p>
                      </w:txbxContent>
                    </wps:txbx>
                    <wps:bodyPr spcFirstLastPara="1" wrap="square" lIns="0" tIns="0" rIns="0" bIns="0" anchor="t" anchorCtr="0">
                      <a:noAutofit/>
                    </wps:bodyPr>
                  </wps:wsp>
                </a:graphicData>
              </a:graphic>
            </wp:anchor>
          </w:drawing>
        </mc:Choice>
        <mc:Fallback>
          <w:pict>
            <v:rect id="Dikdörtgen 31" o:spid="_x0000_s1026" o:spt="1" style="position:absolute;left:0pt;margin-left:3pt;margin-top:0pt;height:21pt;width:473.25pt;z-index:-251655168;mso-width-relative:page;mso-height-relative:page;" filled="f" stroked="f" coordsize="21600,21600" o:gfxdata="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s63GbXAAAA&#10;BQEAAA8AAAAAAAAAAQAgAAAAIgAAAGRycy9kb3ducmV2LnhtbFBLAQIUABQAAAAIAIdO4kBfnNhB&#10;5QEAAMIDAAAOAAAAAAAAAAEAIAAAACYBAABkcnMvZTJvRG9jLnhtbFBLBQYAAAAABgAGAFkBAAB9&#10;BQAAAAA=&#10;">
              <v:fill on="f" focussize="0,0"/>
              <v:stroke on="f"/>
              <v:imagedata o:title=""/>
              <o:lock v:ext="edit" aspectratio="f"/>
              <v:textbox inset="0mm,0mm,0mm,0mm">
                <w:txbxContent>
                  <w:p w14:paraId="678A2D2E">
                    <w:pPr>
                      <w:spacing w:line="224" w:lineRule="auto"/>
                      <w:ind w:left="20" w:firstLine="20"/>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1761946"/>
      <w:docPartObj>
        <w:docPartGallery w:val="AutoText"/>
      </w:docPartObj>
    </w:sdtPr>
    <w:sdtContent>
      <w:p w14:paraId="3300C862">
        <w:pPr>
          <w:pStyle w:val="19"/>
          <w:jc w:val="right"/>
        </w:pPr>
      </w:p>
      <w:p w14:paraId="45197FC3">
        <w:pPr>
          <w:pStyle w:val="19"/>
          <w:jc w:val="right"/>
        </w:pPr>
      </w:p>
      <w:p w14:paraId="1B3A0937">
        <w:pPr>
          <w:pStyle w:val="19"/>
          <w:jc w:val="right"/>
        </w:pPr>
        <w:r>
          <w:fldChar w:fldCharType="begin"/>
        </w:r>
        <w:r>
          <w:instrText xml:space="preserve">PAGE   \* MERGEFORMAT</w:instrText>
        </w:r>
        <w:r>
          <w:fldChar w:fldCharType="separate"/>
        </w:r>
        <w:r>
          <w:t>7</w:t>
        </w:r>
        <w:r>
          <w:fldChar w:fldCharType="end"/>
        </w:r>
      </w:p>
    </w:sdtContent>
  </w:sdt>
  <w:p w14:paraId="00000BEF">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0">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1">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rPr>
        <w:color w:val="000000"/>
      </w:rPr>
    </w:pPr>
    <w:r>
      <w:drawing>
        <wp:anchor distT="0" distB="0" distL="114300" distR="114300" simplePos="0" relativeHeight="251659264" behindDoc="0" locked="0" layoutInCell="1" allowOverlap="1">
          <wp:simplePos x="0" y="0"/>
          <wp:positionH relativeFrom="column">
            <wp:posOffset>-919480</wp:posOffset>
          </wp:positionH>
          <wp:positionV relativeFrom="paragraph">
            <wp:posOffset>0</wp:posOffset>
          </wp:positionV>
          <wp:extent cx="7588885" cy="10739120"/>
          <wp:effectExtent l="0" t="0" r="0" b="5080"/>
          <wp:wrapNone/>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88867" cy="10739203"/>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2">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color w:val="000000"/>
      </w:rPr>
    </w:pPr>
  </w:p>
  <w:p w14:paraId="00000BF3">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color w:val="000000"/>
      </w:rPr>
    </w:pPr>
  </w:p>
  <w:p w14:paraId="00000BF4">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rFonts w:ascii="CamberW04-Regular" w:hAnsi="CamberW04-Regular" w:eastAsia="CamberW04-Regular" w:cs="CamberW04-Regular"/>
        <w:color w:val="000000"/>
      </w:rPr>
    </w:pPr>
    <w:r>
      <w:rPr>
        <w:rFonts w:ascii="CamberW04-Regular" w:hAnsi="CamberW04-Regular" w:eastAsia="CamberW04-Regular" w:cs="CamberW04-Regular"/>
        <w:color w:val="000000"/>
      </w:rPr>
      <w:fldChar w:fldCharType="begin"/>
    </w:r>
    <w:r>
      <w:rPr>
        <w:rFonts w:ascii="CamberW04-Regular" w:hAnsi="CamberW04-Regular" w:eastAsia="CamberW04-Regular" w:cs="CamberW04-Regular"/>
        <w:color w:val="000000"/>
      </w:rPr>
      <w:instrText xml:space="preserve">PAGE</w:instrText>
    </w:r>
    <w:r>
      <w:rPr>
        <w:rFonts w:ascii="CamberW04-Regular" w:hAnsi="CamberW04-Regular" w:eastAsia="CamberW04-Regular" w:cs="CamberW04-Regular"/>
        <w:color w:val="000000"/>
      </w:rPr>
      <w:fldChar w:fldCharType="separate"/>
    </w:r>
    <w:r>
      <w:rPr>
        <w:rFonts w:ascii="CamberW04-Regular" w:hAnsi="CamberW04-Regular" w:eastAsia="CamberW04-Regular" w:cs="CamberW04-Regular"/>
        <w:color w:val="000000"/>
      </w:rPr>
      <w:t>40</w:t>
    </w:r>
    <w:r>
      <w:rPr>
        <w:rFonts w:ascii="CamberW04-Regular" w:hAnsi="CamberW04-Regular" w:eastAsia="CamberW04-Regular" w:cs="CamberW04-Regular"/>
        <w:color w:val="00000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BF5">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color w:val="000000"/>
      </w:rPr>
    </w:pPr>
  </w:p>
  <w:p w14:paraId="00000BF6">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color w:val="000000"/>
      </w:rPr>
    </w:pPr>
  </w:p>
  <w:p w14:paraId="00000BF7">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45</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C40A6C"/>
    <w:multiLevelType w:val="multilevel"/>
    <w:tmpl w:val="21C40A6C"/>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24DE9739"/>
    <w:multiLevelType w:val="multilevel"/>
    <w:tmpl w:val="24DE973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8822CA4"/>
    <w:multiLevelType w:val="multilevel"/>
    <w:tmpl w:val="28822CA4"/>
    <w:lvl w:ilvl="0" w:tentative="0">
      <w:start w:val="3"/>
      <w:numFmt w:val="decimal"/>
      <w:lvlText w:val="%1."/>
      <w:lvlJc w:val="left"/>
      <w:pPr>
        <w:ind w:left="720" w:hanging="360"/>
      </w:pPr>
      <w:rPr>
        <w:rFonts w:hint="default"/>
        <w:b w:val="0"/>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E6D44E4"/>
    <w:multiLevelType w:val="multilevel"/>
    <w:tmpl w:val="2E6D44E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2051FB5"/>
    <w:multiLevelType w:val="multilevel"/>
    <w:tmpl w:val="32051FB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332B3359"/>
    <w:multiLevelType w:val="multilevel"/>
    <w:tmpl w:val="332B33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83751B7"/>
    <w:multiLevelType w:val="multilevel"/>
    <w:tmpl w:val="383751B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1440" w:hanging="360"/>
      </w:pPr>
      <w:rPr>
        <w:rFonts w:ascii="Noto Sans Symbols" w:hAnsi="Noto Sans Symbols" w:eastAsia="Noto Sans Symbols" w:cs="Noto Sans Symbols"/>
        <w:color w:val="B81074"/>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3C3D3912"/>
    <w:multiLevelType w:val="multilevel"/>
    <w:tmpl w:val="3C3D391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3334C40"/>
    <w:multiLevelType w:val="multilevel"/>
    <w:tmpl w:val="43334C40"/>
    <w:lvl w:ilvl="0" w:tentative="0">
      <w:start w:val="1"/>
      <w:numFmt w:val="upperLetter"/>
      <w:lvlText w:val="%1."/>
      <w:lvlJc w:val="left"/>
      <w:pPr>
        <w:ind w:left="1080" w:hanging="360"/>
      </w:pPr>
      <w:rPr>
        <w:rFonts w:hint="default" w:ascii="CamberW01-Light" w:hAnsi="CamberW01-Ligh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47E31E17"/>
    <w:multiLevelType w:val="multilevel"/>
    <w:tmpl w:val="47E31E17"/>
    <w:lvl w:ilvl="0" w:tentative="0">
      <w:start w:val="1"/>
      <w:numFmt w:val="decimal"/>
      <w:lvlText w:val="%1."/>
      <w:lvlJc w:val="left"/>
      <w:pPr>
        <w:ind w:left="720" w:hanging="360"/>
      </w:pPr>
      <w:rPr>
        <w:b w:val="0"/>
        <w:bCs/>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
    <w:nsid w:val="51AA3239"/>
    <w:multiLevelType w:val="multilevel"/>
    <w:tmpl w:val="51AA323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1440" w:hanging="360"/>
      </w:pPr>
      <w:rPr>
        <w:rFonts w:hint="default" w:ascii="Wingdings" w:hAnsi="Wingdings"/>
        <w:color w:val="000000" w:themeColor="text1"/>
        <w14:textFill>
          <w14:solidFill>
            <w14:schemeClr w14:val="tx1"/>
          </w14:solidFill>
        </w14:textFill>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
    <w:nsid w:val="55E10791"/>
    <w:multiLevelType w:val="multilevel"/>
    <w:tmpl w:val="55E1079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A326D09"/>
    <w:multiLevelType w:val="multilevel"/>
    <w:tmpl w:val="5A326D0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3">
    <w:nsid w:val="5D2B7E73"/>
    <w:multiLevelType w:val="multilevel"/>
    <w:tmpl w:val="5D2B7E7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4">
    <w:nsid w:val="6DD37A11"/>
    <w:multiLevelType w:val="multilevel"/>
    <w:tmpl w:val="6DD37A1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850726E"/>
    <w:multiLevelType w:val="multilevel"/>
    <w:tmpl w:val="7850726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2"/>
  </w:num>
  <w:num w:numId="2">
    <w:abstractNumId w:val="13"/>
  </w:num>
  <w:num w:numId="3">
    <w:abstractNumId w:val="6"/>
  </w:num>
  <w:num w:numId="4">
    <w:abstractNumId w:val="10"/>
  </w:num>
  <w:num w:numId="5">
    <w:abstractNumId w:val="0"/>
  </w:num>
  <w:num w:numId="6">
    <w:abstractNumId w:val="8"/>
  </w:num>
  <w:num w:numId="7">
    <w:abstractNumId w:val="15"/>
  </w:num>
  <w:num w:numId="8">
    <w:abstractNumId w:val="9"/>
  </w:num>
  <w:num w:numId="9">
    <w:abstractNumId w:val="4"/>
  </w:num>
  <w:num w:numId="10">
    <w:abstractNumId w:val="2"/>
  </w:num>
  <w:num w:numId="11">
    <w:abstractNumId w:val="5"/>
  </w:num>
  <w:num w:numId="12">
    <w:abstractNumId w:val="11"/>
  </w:num>
  <w:num w:numId="13">
    <w:abstractNumId w:val="1"/>
  </w:num>
  <w:num w:numId="14">
    <w:abstractNumId w:val="14"/>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02"/>
    <w:rsid w:val="00004717"/>
    <w:rsid w:val="00014B3C"/>
    <w:rsid w:val="000166F4"/>
    <w:rsid w:val="0002285F"/>
    <w:rsid w:val="000314B0"/>
    <w:rsid w:val="00036B1E"/>
    <w:rsid w:val="0003777A"/>
    <w:rsid w:val="00041EF1"/>
    <w:rsid w:val="00055909"/>
    <w:rsid w:val="00055A7F"/>
    <w:rsid w:val="000562C2"/>
    <w:rsid w:val="000625C1"/>
    <w:rsid w:val="000713EE"/>
    <w:rsid w:val="00076B7B"/>
    <w:rsid w:val="0008727F"/>
    <w:rsid w:val="00087BA3"/>
    <w:rsid w:val="00091F5B"/>
    <w:rsid w:val="0009313A"/>
    <w:rsid w:val="000967F9"/>
    <w:rsid w:val="000A0D2A"/>
    <w:rsid w:val="000A1A5D"/>
    <w:rsid w:val="000A40D1"/>
    <w:rsid w:val="000A4A48"/>
    <w:rsid w:val="000A60E0"/>
    <w:rsid w:val="000B3C4B"/>
    <w:rsid w:val="000B74A1"/>
    <w:rsid w:val="000F2F74"/>
    <w:rsid w:val="001055AF"/>
    <w:rsid w:val="00112C87"/>
    <w:rsid w:val="0013557B"/>
    <w:rsid w:val="001402F6"/>
    <w:rsid w:val="00171CB8"/>
    <w:rsid w:val="0019766C"/>
    <w:rsid w:val="001A1CF9"/>
    <w:rsid w:val="001C216E"/>
    <w:rsid w:val="001C6B33"/>
    <w:rsid w:val="001D3560"/>
    <w:rsid w:val="001E3EF8"/>
    <w:rsid w:val="001E4EF6"/>
    <w:rsid w:val="001E515D"/>
    <w:rsid w:val="001F6F6C"/>
    <w:rsid w:val="002068E2"/>
    <w:rsid w:val="002143FB"/>
    <w:rsid w:val="00224CE1"/>
    <w:rsid w:val="00225739"/>
    <w:rsid w:val="00226339"/>
    <w:rsid w:val="00235685"/>
    <w:rsid w:val="002369F1"/>
    <w:rsid w:val="00250F4B"/>
    <w:rsid w:val="002547A6"/>
    <w:rsid w:val="00264576"/>
    <w:rsid w:val="00270F5C"/>
    <w:rsid w:val="00274B46"/>
    <w:rsid w:val="002764AE"/>
    <w:rsid w:val="002768AC"/>
    <w:rsid w:val="0028755C"/>
    <w:rsid w:val="00291031"/>
    <w:rsid w:val="00293BA9"/>
    <w:rsid w:val="00296217"/>
    <w:rsid w:val="002B5CED"/>
    <w:rsid w:val="002B70DB"/>
    <w:rsid w:val="002C090F"/>
    <w:rsid w:val="002C1D48"/>
    <w:rsid w:val="002C3954"/>
    <w:rsid w:val="002E7A2E"/>
    <w:rsid w:val="002F1C5C"/>
    <w:rsid w:val="002F56C7"/>
    <w:rsid w:val="00315BFA"/>
    <w:rsid w:val="00316BC7"/>
    <w:rsid w:val="00321FA1"/>
    <w:rsid w:val="00322176"/>
    <w:rsid w:val="003339DE"/>
    <w:rsid w:val="00345A6B"/>
    <w:rsid w:val="00355BD2"/>
    <w:rsid w:val="00357765"/>
    <w:rsid w:val="00383810"/>
    <w:rsid w:val="00386D4D"/>
    <w:rsid w:val="003B0B3B"/>
    <w:rsid w:val="003B4B1D"/>
    <w:rsid w:val="003C1F12"/>
    <w:rsid w:val="003C2777"/>
    <w:rsid w:val="003C6C9C"/>
    <w:rsid w:val="003F714A"/>
    <w:rsid w:val="004025E4"/>
    <w:rsid w:val="004079F2"/>
    <w:rsid w:val="00411AC5"/>
    <w:rsid w:val="00414F26"/>
    <w:rsid w:val="004173C7"/>
    <w:rsid w:val="00421398"/>
    <w:rsid w:val="0042319B"/>
    <w:rsid w:val="00426924"/>
    <w:rsid w:val="004355FD"/>
    <w:rsid w:val="00463F08"/>
    <w:rsid w:val="00465B1F"/>
    <w:rsid w:val="004746AE"/>
    <w:rsid w:val="00476469"/>
    <w:rsid w:val="0048522D"/>
    <w:rsid w:val="004867B9"/>
    <w:rsid w:val="004A58E6"/>
    <w:rsid w:val="004A5920"/>
    <w:rsid w:val="004A700F"/>
    <w:rsid w:val="004B15C9"/>
    <w:rsid w:val="004B20A7"/>
    <w:rsid w:val="004C0A97"/>
    <w:rsid w:val="004D6AB3"/>
    <w:rsid w:val="004E3756"/>
    <w:rsid w:val="004E4A81"/>
    <w:rsid w:val="004F0F1F"/>
    <w:rsid w:val="00510DE7"/>
    <w:rsid w:val="00515B4F"/>
    <w:rsid w:val="005166FA"/>
    <w:rsid w:val="00521DBA"/>
    <w:rsid w:val="00532F53"/>
    <w:rsid w:val="005368F4"/>
    <w:rsid w:val="00551B6B"/>
    <w:rsid w:val="0055420E"/>
    <w:rsid w:val="00562555"/>
    <w:rsid w:val="00586FB7"/>
    <w:rsid w:val="005960B4"/>
    <w:rsid w:val="005A09A3"/>
    <w:rsid w:val="005B4BDD"/>
    <w:rsid w:val="005B6EDC"/>
    <w:rsid w:val="005D587F"/>
    <w:rsid w:val="005D6A98"/>
    <w:rsid w:val="005F20F7"/>
    <w:rsid w:val="00620A26"/>
    <w:rsid w:val="006348D2"/>
    <w:rsid w:val="00643208"/>
    <w:rsid w:val="0064660B"/>
    <w:rsid w:val="006468D8"/>
    <w:rsid w:val="006559D0"/>
    <w:rsid w:val="006868BF"/>
    <w:rsid w:val="0069198A"/>
    <w:rsid w:val="006963FC"/>
    <w:rsid w:val="006A0B82"/>
    <w:rsid w:val="006A201F"/>
    <w:rsid w:val="006A3F4B"/>
    <w:rsid w:val="006B1242"/>
    <w:rsid w:val="006C6028"/>
    <w:rsid w:val="006C6850"/>
    <w:rsid w:val="006D00CD"/>
    <w:rsid w:val="006D14E5"/>
    <w:rsid w:val="006D18AA"/>
    <w:rsid w:val="006D2601"/>
    <w:rsid w:val="006D450A"/>
    <w:rsid w:val="006D630C"/>
    <w:rsid w:val="006E1AAB"/>
    <w:rsid w:val="006E2963"/>
    <w:rsid w:val="006E4B9C"/>
    <w:rsid w:val="006E4E6D"/>
    <w:rsid w:val="006E6C25"/>
    <w:rsid w:val="006E6E90"/>
    <w:rsid w:val="006E77D1"/>
    <w:rsid w:val="006E7911"/>
    <w:rsid w:val="006F0EFB"/>
    <w:rsid w:val="006F1624"/>
    <w:rsid w:val="006F2124"/>
    <w:rsid w:val="00730F6C"/>
    <w:rsid w:val="00766111"/>
    <w:rsid w:val="00771705"/>
    <w:rsid w:val="00772020"/>
    <w:rsid w:val="007745A3"/>
    <w:rsid w:val="00782E3E"/>
    <w:rsid w:val="007830B9"/>
    <w:rsid w:val="00783FFF"/>
    <w:rsid w:val="0079374C"/>
    <w:rsid w:val="007A2883"/>
    <w:rsid w:val="007A3AC8"/>
    <w:rsid w:val="007B1B85"/>
    <w:rsid w:val="007B3DC7"/>
    <w:rsid w:val="007B7B75"/>
    <w:rsid w:val="007C25A1"/>
    <w:rsid w:val="007C3FFE"/>
    <w:rsid w:val="007C4FC9"/>
    <w:rsid w:val="007D308E"/>
    <w:rsid w:val="007E2516"/>
    <w:rsid w:val="007E7E40"/>
    <w:rsid w:val="007F2A96"/>
    <w:rsid w:val="00810285"/>
    <w:rsid w:val="0081363D"/>
    <w:rsid w:val="00813F1F"/>
    <w:rsid w:val="00827920"/>
    <w:rsid w:val="0083563D"/>
    <w:rsid w:val="00841B42"/>
    <w:rsid w:val="00846C90"/>
    <w:rsid w:val="00860B61"/>
    <w:rsid w:val="00870A18"/>
    <w:rsid w:val="00873983"/>
    <w:rsid w:val="008750BA"/>
    <w:rsid w:val="00875DA6"/>
    <w:rsid w:val="0088029F"/>
    <w:rsid w:val="00893EDA"/>
    <w:rsid w:val="00897F25"/>
    <w:rsid w:val="008A3F82"/>
    <w:rsid w:val="008A77DA"/>
    <w:rsid w:val="008C157D"/>
    <w:rsid w:val="008C23A4"/>
    <w:rsid w:val="008C5D8F"/>
    <w:rsid w:val="008C6CDC"/>
    <w:rsid w:val="008C6DF5"/>
    <w:rsid w:val="008D3E1B"/>
    <w:rsid w:val="008E1B37"/>
    <w:rsid w:val="008E7BA4"/>
    <w:rsid w:val="008F4512"/>
    <w:rsid w:val="008F5B13"/>
    <w:rsid w:val="008F7F1F"/>
    <w:rsid w:val="009002CA"/>
    <w:rsid w:val="00904A2C"/>
    <w:rsid w:val="00910784"/>
    <w:rsid w:val="009122FB"/>
    <w:rsid w:val="00921431"/>
    <w:rsid w:val="009313BB"/>
    <w:rsid w:val="00943BAA"/>
    <w:rsid w:val="00950D85"/>
    <w:rsid w:val="00957EBF"/>
    <w:rsid w:val="00964A51"/>
    <w:rsid w:val="00977AE2"/>
    <w:rsid w:val="00992B5A"/>
    <w:rsid w:val="00992C2B"/>
    <w:rsid w:val="0099631D"/>
    <w:rsid w:val="009A3813"/>
    <w:rsid w:val="009B444E"/>
    <w:rsid w:val="009B6795"/>
    <w:rsid w:val="009C2AC7"/>
    <w:rsid w:val="009C595A"/>
    <w:rsid w:val="009D02D3"/>
    <w:rsid w:val="009D3E05"/>
    <w:rsid w:val="009E7365"/>
    <w:rsid w:val="009F532E"/>
    <w:rsid w:val="00A00F6A"/>
    <w:rsid w:val="00A03635"/>
    <w:rsid w:val="00A17AD1"/>
    <w:rsid w:val="00A36FDB"/>
    <w:rsid w:val="00A42F70"/>
    <w:rsid w:val="00A4715F"/>
    <w:rsid w:val="00A530CA"/>
    <w:rsid w:val="00A561A8"/>
    <w:rsid w:val="00A67376"/>
    <w:rsid w:val="00A72479"/>
    <w:rsid w:val="00A76611"/>
    <w:rsid w:val="00A85F62"/>
    <w:rsid w:val="00A97010"/>
    <w:rsid w:val="00A97734"/>
    <w:rsid w:val="00AA4C85"/>
    <w:rsid w:val="00AA7DD5"/>
    <w:rsid w:val="00AD48F3"/>
    <w:rsid w:val="00AE2141"/>
    <w:rsid w:val="00AE3EE6"/>
    <w:rsid w:val="00AE7A1C"/>
    <w:rsid w:val="00AF4EF6"/>
    <w:rsid w:val="00B0200A"/>
    <w:rsid w:val="00B05C6F"/>
    <w:rsid w:val="00B30183"/>
    <w:rsid w:val="00B42C40"/>
    <w:rsid w:val="00B5319C"/>
    <w:rsid w:val="00B5580F"/>
    <w:rsid w:val="00B56AB2"/>
    <w:rsid w:val="00B76208"/>
    <w:rsid w:val="00B77E86"/>
    <w:rsid w:val="00BA5110"/>
    <w:rsid w:val="00BB0DCE"/>
    <w:rsid w:val="00BC06E1"/>
    <w:rsid w:val="00BC3802"/>
    <w:rsid w:val="00BE171D"/>
    <w:rsid w:val="00BF1106"/>
    <w:rsid w:val="00C114DF"/>
    <w:rsid w:val="00C116A9"/>
    <w:rsid w:val="00C12732"/>
    <w:rsid w:val="00C16FF6"/>
    <w:rsid w:val="00C22402"/>
    <w:rsid w:val="00C22C41"/>
    <w:rsid w:val="00C31BB5"/>
    <w:rsid w:val="00C47044"/>
    <w:rsid w:val="00C50D01"/>
    <w:rsid w:val="00C60CB3"/>
    <w:rsid w:val="00C61EBA"/>
    <w:rsid w:val="00C65C07"/>
    <w:rsid w:val="00C76E12"/>
    <w:rsid w:val="00C851BD"/>
    <w:rsid w:val="00C93195"/>
    <w:rsid w:val="00C94665"/>
    <w:rsid w:val="00C97D12"/>
    <w:rsid w:val="00CE0E2D"/>
    <w:rsid w:val="00CE4348"/>
    <w:rsid w:val="00CF287F"/>
    <w:rsid w:val="00D072EA"/>
    <w:rsid w:val="00D233A7"/>
    <w:rsid w:val="00D2514F"/>
    <w:rsid w:val="00D3629B"/>
    <w:rsid w:val="00D6024D"/>
    <w:rsid w:val="00D6222E"/>
    <w:rsid w:val="00D85404"/>
    <w:rsid w:val="00D85A43"/>
    <w:rsid w:val="00D879B3"/>
    <w:rsid w:val="00DB1FB1"/>
    <w:rsid w:val="00DC3B26"/>
    <w:rsid w:val="00DD1407"/>
    <w:rsid w:val="00DD1A02"/>
    <w:rsid w:val="00DD59AA"/>
    <w:rsid w:val="00DE05A0"/>
    <w:rsid w:val="00DE37C6"/>
    <w:rsid w:val="00E01A96"/>
    <w:rsid w:val="00E033BA"/>
    <w:rsid w:val="00E06CA1"/>
    <w:rsid w:val="00E06D6E"/>
    <w:rsid w:val="00E266FE"/>
    <w:rsid w:val="00E26BCB"/>
    <w:rsid w:val="00E3578C"/>
    <w:rsid w:val="00E42C25"/>
    <w:rsid w:val="00E578D0"/>
    <w:rsid w:val="00E63051"/>
    <w:rsid w:val="00E65DF5"/>
    <w:rsid w:val="00E72E55"/>
    <w:rsid w:val="00E830A2"/>
    <w:rsid w:val="00E94D9E"/>
    <w:rsid w:val="00E954C8"/>
    <w:rsid w:val="00EA09F8"/>
    <w:rsid w:val="00EB62E3"/>
    <w:rsid w:val="00EB7BF2"/>
    <w:rsid w:val="00ED3584"/>
    <w:rsid w:val="00ED4258"/>
    <w:rsid w:val="00EE6B1C"/>
    <w:rsid w:val="00EF0994"/>
    <w:rsid w:val="00EF25DC"/>
    <w:rsid w:val="00EF4322"/>
    <w:rsid w:val="00EF4559"/>
    <w:rsid w:val="00F112CD"/>
    <w:rsid w:val="00F262E5"/>
    <w:rsid w:val="00F27F15"/>
    <w:rsid w:val="00F341B0"/>
    <w:rsid w:val="00F3552D"/>
    <w:rsid w:val="00F607CC"/>
    <w:rsid w:val="00F66A96"/>
    <w:rsid w:val="00F71ABF"/>
    <w:rsid w:val="00F74786"/>
    <w:rsid w:val="00F812A9"/>
    <w:rsid w:val="00F839DE"/>
    <w:rsid w:val="00F97A82"/>
    <w:rsid w:val="00FC5834"/>
    <w:rsid w:val="00FD4FFF"/>
    <w:rsid w:val="00FD5CA4"/>
    <w:rsid w:val="00FE7706"/>
    <w:rsid w:val="00FE78DA"/>
    <w:rsid w:val="02660E18"/>
    <w:rsid w:val="0511433C"/>
    <w:rsid w:val="059155E4"/>
    <w:rsid w:val="059D29C0"/>
    <w:rsid w:val="07F472FE"/>
    <w:rsid w:val="0835B3E8"/>
    <w:rsid w:val="0B6C192C"/>
    <w:rsid w:val="0C49A1BB"/>
    <w:rsid w:val="0D478CD2"/>
    <w:rsid w:val="0D5FC24D"/>
    <w:rsid w:val="0DE35958"/>
    <w:rsid w:val="0EF32CA4"/>
    <w:rsid w:val="0F54EF7C"/>
    <w:rsid w:val="1168067A"/>
    <w:rsid w:val="1196A263"/>
    <w:rsid w:val="12EDEFD0"/>
    <w:rsid w:val="12FAA8F3"/>
    <w:rsid w:val="13DE966B"/>
    <w:rsid w:val="15ADD6B2"/>
    <w:rsid w:val="179D0854"/>
    <w:rsid w:val="18145675"/>
    <w:rsid w:val="183057C0"/>
    <w:rsid w:val="1AD5DB3B"/>
    <w:rsid w:val="1B427ACA"/>
    <w:rsid w:val="1C708949"/>
    <w:rsid w:val="1CD52116"/>
    <w:rsid w:val="1E04F0D7"/>
    <w:rsid w:val="2041CCEF"/>
    <w:rsid w:val="20561638"/>
    <w:rsid w:val="20B10802"/>
    <w:rsid w:val="20D52117"/>
    <w:rsid w:val="213C72CA"/>
    <w:rsid w:val="220CEC02"/>
    <w:rsid w:val="228D1DE7"/>
    <w:rsid w:val="2373F24C"/>
    <w:rsid w:val="25299582"/>
    <w:rsid w:val="257474E9"/>
    <w:rsid w:val="25CFE132"/>
    <w:rsid w:val="264E2970"/>
    <w:rsid w:val="284CD4E7"/>
    <w:rsid w:val="29772219"/>
    <w:rsid w:val="2A219EC4"/>
    <w:rsid w:val="2B73C681"/>
    <w:rsid w:val="2CBB1301"/>
    <w:rsid w:val="2E5D217A"/>
    <w:rsid w:val="2FB9B6CA"/>
    <w:rsid w:val="30D2A271"/>
    <w:rsid w:val="31E72D98"/>
    <w:rsid w:val="3508AE47"/>
    <w:rsid w:val="36C75602"/>
    <w:rsid w:val="372AB864"/>
    <w:rsid w:val="3772E79A"/>
    <w:rsid w:val="3A763087"/>
    <w:rsid w:val="3ADD0B53"/>
    <w:rsid w:val="3B8AF349"/>
    <w:rsid w:val="3BB65578"/>
    <w:rsid w:val="3C5BE960"/>
    <w:rsid w:val="3C9A2453"/>
    <w:rsid w:val="3CB6CE70"/>
    <w:rsid w:val="3D26A99B"/>
    <w:rsid w:val="40FCA00D"/>
    <w:rsid w:val="41C2E187"/>
    <w:rsid w:val="44AB985F"/>
    <w:rsid w:val="46E697D9"/>
    <w:rsid w:val="49D413B5"/>
    <w:rsid w:val="49FAD9BF"/>
    <w:rsid w:val="4AB7D189"/>
    <w:rsid w:val="4D40A7D9"/>
    <w:rsid w:val="4D7FDFAB"/>
    <w:rsid w:val="4F6C6610"/>
    <w:rsid w:val="500C6D38"/>
    <w:rsid w:val="501BCC17"/>
    <w:rsid w:val="5037E51F"/>
    <w:rsid w:val="509899C8"/>
    <w:rsid w:val="5122303D"/>
    <w:rsid w:val="5335D35E"/>
    <w:rsid w:val="553B1879"/>
    <w:rsid w:val="559673BF"/>
    <w:rsid w:val="56180BEF"/>
    <w:rsid w:val="56B1701F"/>
    <w:rsid w:val="57307715"/>
    <w:rsid w:val="574536BE"/>
    <w:rsid w:val="5882D924"/>
    <w:rsid w:val="58CC58EA"/>
    <w:rsid w:val="5969F56C"/>
    <w:rsid w:val="598D94C8"/>
    <w:rsid w:val="5C7B5ADB"/>
    <w:rsid w:val="5DA81344"/>
    <w:rsid w:val="5F538C16"/>
    <w:rsid w:val="5F92350E"/>
    <w:rsid w:val="5FB252CF"/>
    <w:rsid w:val="6040B4BB"/>
    <w:rsid w:val="608FE77C"/>
    <w:rsid w:val="62115F01"/>
    <w:rsid w:val="633D145D"/>
    <w:rsid w:val="639A1DE7"/>
    <w:rsid w:val="63CDF675"/>
    <w:rsid w:val="66539F82"/>
    <w:rsid w:val="6924FFE1"/>
    <w:rsid w:val="6A8848FF"/>
    <w:rsid w:val="6B2D7154"/>
    <w:rsid w:val="6BA70474"/>
    <w:rsid w:val="6BCFF33B"/>
    <w:rsid w:val="6BEB51E3"/>
    <w:rsid w:val="6EAAD36A"/>
    <w:rsid w:val="6FA2167C"/>
    <w:rsid w:val="6FB54531"/>
    <w:rsid w:val="703F2E1F"/>
    <w:rsid w:val="706A4204"/>
    <w:rsid w:val="710F390D"/>
    <w:rsid w:val="72630DAC"/>
    <w:rsid w:val="736E08FA"/>
    <w:rsid w:val="739FD5EC"/>
    <w:rsid w:val="748B6A6F"/>
    <w:rsid w:val="74A6CCFA"/>
    <w:rsid w:val="74D0A2EF"/>
    <w:rsid w:val="74DBFBD5"/>
    <w:rsid w:val="75DDF8FA"/>
    <w:rsid w:val="7B732962"/>
    <w:rsid w:val="7C7D5E02"/>
    <w:rsid w:val="7DFE8868"/>
    <w:rsid w:val="7E3C61A8"/>
    <w:rsid w:val="7E525064"/>
    <w:rsid w:val="7E954F0C"/>
    <w:rsid w:val="7F3F8E2E"/>
    <w:rsid w:val="7FC0E471"/>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Calibri" w:cs="Calibri"/>
      <w:sz w:val="22"/>
      <w:szCs w:val="22"/>
      <w:lang w:val="tr-TR" w:eastAsia="tr-TR" w:bidi="ar-SA"/>
    </w:rPr>
  </w:style>
  <w:style w:type="paragraph" w:styleId="2">
    <w:name w:val="heading 1"/>
    <w:basedOn w:val="1"/>
    <w:link w:val="37"/>
    <w:qFormat/>
    <w:uiPriority w:val="9"/>
    <w:pPr>
      <w:spacing w:before="59"/>
      <w:ind w:right="63"/>
      <w:jc w:val="both"/>
      <w:outlineLvl w:val="0"/>
    </w:pPr>
    <w:rPr>
      <w:rFonts w:ascii="CamberW04-Regular" w:hAnsi="CamberW04-Regular" w:eastAsia="Times New Roman"/>
      <w:b/>
      <w:bCs/>
      <w:color w:val="2F5597" w:themeColor="accent1" w:themeShade="BF"/>
      <w:spacing w:val="-2"/>
      <w:sz w:val="32"/>
      <w:szCs w:val="32"/>
    </w:rPr>
  </w:style>
  <w:style w:type="paragraph" w:styleId="3">
    <w:name w:val="heading 2"/>
    <w:basedOn w:val="1"/>
    <w:link w:val="38"/>
    <w:unhideWhenUsed/>
    <w:qFormat/>
    <w:uiPriority w:val="9"/>
    <w:pPr>
      <w:ind w:right="63"/>
      <w:jc w:val="both"/>
      <w:outlineLvl w:val="1"/>
    </w:pPr>
    <w:rPr>
      <w:rFonts w:ascii="CamberW04-Regular" w:hAnsi="CamberW04-Regular" w:eastAsia="CamberW04-Regular" w:cs="CamberW04-Regular"/>
      <w:b/>
      <w:bCs/>
      <w:sz w:val="24"/>
      <w:szCs w:val="28"/>
    </w:rPr>
  </w:style>
  <w:style w:type="paragraph" w:styleId="4">
    <w:name w:val="heading 3"/>
    <w:basedOn w:val="1"/>
    <w:next w:val="1"/>
    <w:link w:val="42"/>
    <w:unhideWhenUsed/>
    <w:qFormat/>
    <w:uiPriority w:val="9"/>
    <w:pPr>
      <w:keepNext/>
      <w:keepLines/>
      <w:widowControl/>
      <w:spacing w:before="4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link w:val="39"/>
    <w:unhideWhenUsed/>
    <w:qFormat/>
    <w:uiPriority w:val="9"/>
    <w:pPr>
      <w:ind w:left="118"/>
      <w:outlineLvl w:val="3"/>
    </w:pPr>
    <w:rPr>
      <w:rFonts w:ascii="Times New Roman" w:hAnsi="Times New Roman" w:eastAsia="Times New Roman"/>
      <w:b/>
      <w:bCs/>
      <w:i/>
      <w:sz w:val="24"/>
      <w:szCs w:val="24"/>
    </w:rPr>
  </w:style>
  <w:style w:type="paragraph" w:styleId="6">
    <w:name w:val="heading 5"/>
    <w:basedOn w:val="1"/>
    <w:next w:val="1"/>
    <w:link w:val="56"/>
    <w:semiHidden/>
    <w:unhideWhenUsed/>
    <w:qFormat/>
    <w:uiPriority w:val="9"/>
    <w:pPr>
      <w:widowControl/>
      <w:spacing w:before="240" w:after="60"/>
      <w:outlineLvl w:val="4"/>
    </w:pPr>
    <w:rPr>
      <w:rFonts w:eastAsia="Times New Roman" w:cs="Times New Roman"/>
      <w:b/>
      <w:bCs/>
      <w:i/>
      <w:iCs/>
      <w:sz w:val="26"/>
      <w:szCs w:val="26"/>
    </w:rPr>
  </w:style>
  <w:style w:type="paragraph" w:styleId="7">
    <w:name w:val="heading 6"/>
    <w:basedOn w:val="1"/>
    <w:next w:val="1"/>
    <w:link w:val="57"/>
    <w:semiHidden/>
    <w:unhideWhenUsed/>
    <w:qFormat/>
    <w:uiPriority w:val="9"/>
    <w:pPr>
      <w:widowControl/>
      <w:spacing w:before="240" w:after="60"/>
      <w:outlineLvl w:val="5"/>
    </w:pPr>
    <w:rPr>
      <w:rFonts w:eastAsia="Times New Roman" w:cs="Times New Roman"/>
      <w:b/>
      <w:bCs/>
    </w:rPr>
  </w:style>
  <w:style w:type="character" w:default="1" w:styleId="8">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46"/>
    <w:semiHidden/>
    <w:unhideWhenUsed/>
    <w:uiPriority w:val="99"/>
    <w:pPr>
      <w:widowControl/>
    </w:pPr>
    <w:rPr>
      <w:rFonts w:ascii="Segoe UI" w:hAnsi="Segoe UI"/>
      <w:sz w:val="18"/>
      <w:szCs w:val="18"/>
    </w:rPr>
  </w:style>
  <w:style w:type="paragraph" w:styleId="11">
    <w:name w:val="Body Text"/>
    <w:basedOn w:val="1"/>
    <w:link w:val="40"/>
    <w:qFormat/>
    <w:uiPriority w:val="1"/>
    <w:pPr>
      <w:ind w:left="118"/>
    </w:pPr>
    <w:rPr>
      <w:rFonts w:ascii="Times New Roman" w:hAnsi="Times New Roman" w:eastAsia="Times New Roman"/>
      <w:sz w:val="24"/>
      <w:szCs w:val="24"/>
    </w:rPr>
  </w:style>
  <w:style w:type="character" w:styleId="12">
    <w:name w:val="annotation reference"/>
    <w:basedOn w:val="8"/>
    <w:semiHidden/>
    <w:unhideWhenUsed/>
    <w:uiPriority w:val="99"/>
    <w:rPr>
      <w:sz w:val="16"/>
      <w:szCs w:val="16"/>
    </w:rPr>
  </w:style>
  <w:style w:type="paragraph" w:styleId="13">
    <w:name w:val="annotation text"/>
    <w:basedOn w:val="1"/>
    <w:link w:val="48"/>
    <w:unhideWhenUsed/>
    <w:uiPriority w:val="99"/>
    <w:rPr>
      <w:sz w:val="20"/>
      <w:szCs w:val="20"/>
    </w:rPr>
  </w:style>
  <w:style w:type="paragraph" w:styleId="14">
    <w:name w:val="annotation subject"/>
    <w:basedOn w:val="13"/>
    <w:next w:val="13"/>
    <w:link w:val="49"/>
    <w:semiHidden/>
    <w:unhideWhenUsed/>
    <w:uiPriority w:val="99"/>
    <w:rPr>
      <w:b/>
      <w:bCs/>
    </w:rPr>
  </w:style>
  <w:style w:type="character" w:styleId="15">
    <w:name w:val="FollowedHyperlink"/>
    <w:basedOn w:val="8"/>
    <w:semiHidden/>
    <w:unhideWhenUsed/>
    <w:uiPriority w:val="99"/>
    <w:rPr>
      <w:color w:val="954F72" w:themeColor="followedHyperlink"/>
      <w:u w:val="single"/>
      <w14:textFill>
        <w14:solidFill>
          <w14:schemeClr w14:val="folHlink"/>
        </w14:solidFill>
      </w14:textFill>
    </w:rPr>
  </w:style>
  <w:style w:type="paragraph" w:styleId="16">
    <w:name w:val="footer"/>
    <w:basedOn w:val="1"/>
    <w:link w:val="51"/>
    <w:unhideWhenUsed/>
    <w:uiPriority w:val="99"/>
    <w:pPr>
      <w:tabs>
        <w:tab w:val="center" w:pos="4536"/>
        <w:tab w:val="right" w:pos="9072"/>
      </w:tabs>
    </w:pPr>
  </w:style>
  <w:style w:type="character" w:styleId="17">
    <w:name w:val="footnote reference"/>
    <w:basedOn w:val="8"/>
    <w:semiHidden/>
    <w:unhideWhenUsed/>
    <w:uiPriority w:val="99"/>
    <w:rPr>
      <w:vertAlign w:val="superscript"/>
    </w:rPr>
  </w:style>
  <w:style w:type="paragraph" w:styleId="18">
    <w:name w:val="footnote text"/>
    <w:basedOn w:val="1"/>
    <w:link w:val="62"/>
    <w:semiHidden/>
    <w:unhideWhenUsed/>
    <w:uiPriority w:val="99"/>
    <w:pPr>
      <w:widowControl/>
      <w:ind w:left="862" w:firstLine="9"/>
    </w:pPr>
    <w:rPr>
      <w:rFonts w:ascii="Times New Roman" w:hAnsi="Times New Roman" w:eastAsia="Times New Roman" w:cs="Times New Roman"/>
      <w:color w:val="000000"/>
      <w:sz w:val="20"/>
      <w:szCs w:val="20"/>
    </w:rPr>
  </w:style>
  <w:style w:type="paragraph" w:styleId="19">
    <w:name w:val="header"/>
    <w:basedOn w:val="1"/>
    <w:link w:val="50"/>
    <w:unhideWhenUsed/>
    <w:uiPriority w:val="99"/>
    <w:pPr>
      <w:tabs>
        <w:tab w:val="center" w:pos="4536"/>
        <w:tab w:val="right" w:pos="9072"/>
      </w:tabs>
    </w:pPr>
  </w:style>
  <w:style w:type="character" w:styleId="20">
    <w:name w:val="Hyperlink"/>
    <w:basedOn w:val="8"/>
    <w:unhideWhenUsed/>
    <w:uiPriority w:val="99"/>
    <w:rPr>
      <w:color w:val="0563C1" w:themeColor="hyperlink"/>
      <w:u w:val="single"/>
      <w14:textFill>
        <w14:solidFill>
          <w14:schemeClr w14:val="hlink"/>
        </w14:solidFill>
      </w14:textFill>
    </w:rPr>
  </w:style>
  <w:style w:type="paragraph" w:styleId="21">
    <w:name w:val="Normal (Web)"/>
    <w:basedOn w:val="1"/>
    <w:unhideWhenUsed/>
    <w:uiPriority w:val="99"/>
    <w:pPr>
      <w:widowControl/>
      <w:spacing w:before="100" w:beforeAutospacing="1" w:after="100" w:afterAutospacing="1"/>
    </w:pPr>
    <w:rPr>
      <w:rFonts w:ascii="Times New Roman" w:hAnsi="Times New Roman" w:eastAsia="Times New Roman" w:cs="Times New Roman"/>
      <w:sz w:val="24"/>
      <w:szCs w:val="24"/>
    </w:rPr>
  </w:style>
  <w:style w:type="character" w:styleId="22">
    <w:name w:val="Strong"/>
    <w:basedOn w:val="8"/>
    <w:qFormat/>
    <w:uiPriority w:val="22"/>
    <w:rPr>
      <w:b/>
      <w:bCs/>
    </w:rPr>
  </w:style>
  <w:style w:type="paragraph" w:styleId="23">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24">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itle"/>
    <w:basedOn w:val="1"/>
    <w:next w:val="1"/>
    <w:qFormat/>
    <w:uiPriority w:val="10"/>
    <w:pPr>
      <w:keepNext/>
      <w:keepLines/>
      <w:spacing w:before="480" w:after="120"/>
    </w:pPr>
    <w:rPr>
      <w:b/>
      <w:sz w:val="72"/>
      <w:szCs w:val="72"/>
    </w:rPr>
  </w:style>
  <w:style w:type="paragraph" w:styleId="26">
    <w:name w:val="toc 1"/>
    <w:basedOn w:val="1"/>
    <w:qFormat/>
    <w:uiPriority w:val="39"/>
    <w:pPr>
      <w:spacing w:before="138"/>
      <w:ind w:left="608" w:hanging="269"/>
    </w:pPr>
    <w:rPr>
      <w:rFonts w:ascii="Times New Roman" w:hAnsi="Times New Roman" w:eastAsia="Times New Roman"/>
      <w:b/>
      <w:bCs/>
    </w:rPr>
  </w:style>
  <w:style w:type="paragraph" w:styleId="27">
    <w:name w:val="toc 2"/>
    <w:basedOn w:val="1"/>
    <w:qFormat/>
    <w:uiPriority w:val="39"/>
    <w:pPr>
      <w:spacing w:before="138"/>
      <w:ind w:left="778" w:hanging="221"/>
    </w:pPr>
    <w:rPr>
      <w:rFonts w:ascii="Times New Roman" w:hAnsi="Times New Roman" w:eastAsia="Times New Roman"/>
      <w:b/>
      <w:bCs/>
    </w:rPr>
  </w:style>
  <w:style w:type="paragraph" w:styleId="28">
    <w:name w:val="toc 3"/>
    <w:basedOn w:val="1"/>
    <w:next w:val="1"/>
    <w:autoRedefine/>
    <w:unhideWhenUsed/>
    <w:qFormat/>
    <w:uiPriority w:val="39"/>
    <w:pPr>
      <w:widowControl/>
      <w:spacing w:line="248" w:lineRule="auto"/>
      <w:ind w:left="400" w:firstLine="9"/>
    </w:pPr>
    <w:rPr>
      <w:rFonts w:eastAsia="Times New Roman" w:cs="Times New Roman"/>
      <w:color w:val="000000"/>
      <w:sz w:val="20"/>
      <w:szCs w:val="20"/>
    </w:rPr>
  </w:style>
  <w:style w:type="paragraph" w:styleId="29">
    <w:name w:val="toc 4"/>
    <w:basedOn w:val="1"/>
    <w:next w:val="1"/>
    <w:autoRedefine/>
    <w:unhideWhenUsed/>
    <w:uiPriority w:val="39"/>
    <w:pPr>
      <w:widowControl/>
      <w:spacing w:line="248" w:lineRule="auto"/>
      <w:ind w:left="600" w:firstLine="9"/>
    </w:pPr>
    <w:rPr>
      <w:rFonts w:eastAsia="Times New Roman" w:cs="Times New Roman"/>
      <w:color w:val="000000"/>
      <w:sz w:val="20"/>
      <w:szCs w:val="20"/>
    </w:rPr>
  </w:style>
  <w:style w:type="paragraph" w:styleId="30">
    <w:name w:val="toc 5"/>
    <w:basedOn w:val="1"/>
    <w:next w:val="1"/>
    <w:autoRedefine/>
    <w:unhideWhenUsed/>
    <w:uiPriority w:val="39"/>
    <w:pPr>
      <w:widowControl/>
      <w:spacing w:line="248" w:lineRule="auto"/>
      <w:ind w:left="800" w:firstLine="9"/>
    </w:pPr>
    <w:rPr>
      <w:rFonts w:eastAsia="Times New Roman" w:cs="Times New Roman"/>
      <w:color w:val="000000"/>
      <w:sz w:val="20"/>
      <w:szCs w:val="20"/>
    </w:rPr>
  </w:style>
  <w:style w:type="paragraph" w:styleId="31">
    <w:name w:val="toc 6"/>
    <w:basedOn w:val="1"/>
    <w:next w:val="1"/>
    <w:autoRedefine/>
    <w:unhideWhenUsed/>
    <w:uiPriority w:val="39"/>
    <w:pPr>
      <w:widowControl/>
      <w:spacing w:line="248" w:lineRule="auto"/>
      <w:ind w:left="1000" w:firstLine="9"/>
    </w:pPr>
    <w:rPr>
      <w:rFonts w:eastAsia="Times New Roman" w:cs="Times New Roman"/>
      <w:color w:val="000000"/>
      <w:sz w:val="20"/>
      <w:szCs w:val="20"/>
    </w:rPr>
  </w:style>
  <w:style w:type="paragraph" w:styleId="32">
    <w:name w:val="toc 7"/>
    <w:basedOn w:val="1"/>
    <w:next w:val="1"/>
    <w:autoRedefine/>
    <w:unhideWhenUsed/>
    <w:uiPriority w:val="39"/>
    <w:pPr>
      <w:widowControl/>
      <w:spacing w:line="248" w:lineRule="auto"/>
      <w:ind w:left="1200" w:firstLine="9"/>
    </w:pPr>
    <w:rPr>
      <w:rFonts w:eastAsia="Times New Roman" w:cs="Times New Roman"/>
      <w:color w:val="000000"/>
      <w:sz w:val="20"/>
      <w:szCs w:val="20"/>
    </w:rPr>
  </w:style>
  <w:style w:type="paragraph" w:styleId="33">
    <w:name w:val="toc 8"/>
    <w:basedOn w:val="1"/>
    <w:next w:val="1"/>
    <w:autoRedefine/>
    <w:unhideWhenUsed/>
    <w:uiPriority w:val="39"/>
    <w:pPr>
      <w:widowControl/>
      <w:spacing w:line="248" w:lineRule="auto"/>
      <w:ind w:left="1400" w:firstLine="9"/>
    </w:pPr>
    <w:rPr>
      <w:rFonts w:eastAsia="Times New Roman" w:cs="Times New Roman"/>
      <w:color w:val="000000"/>
      <w:sz w:val="20"/>
      <w:szCs w:val="20"/>
    </w:rPr>
  </w:style>
  <w:style w:type="paragraph" w:styleId="34">
    <w:name w:val="toc 9"/>
    <w:basedOn w:val="1"/>
    <w:next w:val="1"/>
    <w:autoRedefine/>
    <w:unhideWhenUsed/>
    <w:uiPriority w:val="39"/>
    <w:pPr>
      <w:widowControl/>
      <w:spacing w:line="248" w:lineRule="auto"/>
      <w:ind w:left="1600" w:firstLine="9"/>
    </w:pPr>
    <w:rPr>
      <w:rFonts w:eastAsia="Times New Roman" w:cs="Times New Roman"/>
      <w:color w:val="000000"/>
      <w:sz w:val="20"/>
      <w:szCs w:val="20"/>
    </w:rPr>
  </w:style>
  <w:style w:type="table" w:styleId="35">
    <w:name w:val="Light List Accent 1"/>
    <w:basedOn w:val="9"/>
    <w:uiPriority w:val="61"/>
    <w:rPr>
      <w:rFonts w:eastAsiaTheme="minorEastAsia"/>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36">
    <w:name w:val="Table Normal111"/>
    <w:uiPriority w:val="0"/>
    <w:tblPr>
      <w:tblCellMar>
        <w:top w:w="0" w:type="dxa"/>
        <w:left w:w="0" w:type="dxa"/>
        <w:bottom w:w="0" w:type="dxa"/>
        <w:right w:w="0" w:type="dxa"/>
      </w:tblCellMar>
    </w:tblPr>
  </w:style>
  <w:style w:type="character" w:customStyle="1" w:styleId="37">
    <w:name w:val="Başlık 1 Char"/>
    <w:basedOn w:val="8"/>
    <w:link w:val="2"/>
    <w:uiPriority w:val="1"/>
    <w:rPr>
      <w:rFonts w:ascii="CamberW04-Regular" w:hAnsi="CamberW04-Regular" w:eastAsia="Times New Roman" w:cs="Calibri"/>
      <w:b/>
      <w:bCs/>
      <w:color w:val="2F5597" w:themeColor="accent1" w:themeShade="BF"/>
      <w:spacing w:val="-2"/>
      <w:sz w:val="32"/>
      <w:szCs w:val="32"/>
    </w:rPr>
  </w:style>
  <w:style w:type="character" w:customStyle="1" w:styleId="38">
    <w:name w:val="Başlık 2 Char"/>
    <w:basedOn w:val="8"/>
    <w:link w:val="3"/>
    <w:uiPriority w:val="9"/>
    <w:rPr>
      <w:rFonts w:ascii="CamberW04-Regular" w:hAnsi="CamberW04-Regular" w:eastAsia="CamberW04-Regular" w:cs="CamberW04-Regular"/>
      <w:b/>
      <w:bCs/>
      <w:sz w:val="24"/>
      <w:szCs w:val="28"/>
    </w:rPr>
  </w:style>
  <w:style w:type="character" w:customStyle="1" w:styleId="39">
    <w:name w:val="Başlık 4 Char"/>
    <w:basedOn w:val="8"/>
    <w:link w:val="5"/>
    <w:uiPriority w:val="1"/>
    <w:rPr>
      <w:rFonts w:ascii="Times New Roman" w:hAnsi="Times New Roman" w:eastAsia="Times New Roman"/>
      <w:b/>
      <w:bCs/>
      <w:i/>
      <w:sz w:val="24"/>
      <w:szCs w:val="24"/>
    </w:rPr>
  </w:style>
  <w:style w:type="character" w:customStyle="1" w:styleId="40">
    <w:name w:val="Gövde Metni Char"/>
    <w:basedOn w:val="8"/>
    <w:link w:val="11"/>
    <w:uiPriority w:val="1"/>
    <w:rPr>
      <w:rFonts w:ascii="Times New Roman" w:hAnsi="Times New Roman" w:eastAsia="Times New Roman"/>
      <w:sz w:val="24"/>
      <w:szCs w:val="24"/>
    </w:rPr>
  </w:style>
  <w:style w:type="paragraph" w:styleId="41">
    <w:name w:val="List Paragraph"/>
    <w:basedOn w:val="1"/>
    <w:qFormat/>
    <w:uiPriority w:val="34"/>
  </w:style>
  <w:style w:type="character" w:customStyle="1" w:styleId="42">
    <w:name w:val="Başlık 3 Char"/>
    <w:basedOn w:val="8"/>
    <w:link w:val="4"/>
    <w:uiPriority w:val="1"/>
    <w:rPr>
      <w:rFonts w:asciiTheme="majorHAnsi" w:hAnsiTheme="majorHAnsi" w:eastAsiaTheme="majorEastAsia" w:cstheme="majorBidi"/>
      <w:color w:val="203864" w:themeColor="accent1" w:themeShade="80"/>
      <w:sz w:val="24"/>
      <w:szCs w:val="24"/>
    </w:rPr>
  </w:style>
  <w:style w:type="table" w:customStyle="1" w:styleId="43">
    <w:name w:val="Tablo Kılavuzu1"/>
    <w:basedOn w:val="9"/>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4">
    <w:name w:val="No Spacing"/>
    <w:link w:val="45"/>
    <w:qFormat/>
    <w:uiPriority w:val="1"/>
    <w:pPr>
      <w:widowControl w:val="0"/>
    </w:pPr>
    <w:rPr>
      <w:rFonts w:ascii="Calibri" w:hAnsi="Calibri" w:cs="Calibri" w:eastAsiaTheme="minorEastAsia"/>
      <w:sz w:val="22"/>
      <w:szCs w:val="22"/>
      <w:lang w:val="en-US" w:eastAsia="zh-CN" w:bidi="ar-SA"/>
    </w:rPr>
  </w:style>
  <w:style w:type="character" w:customStyle="1" w:styleId="45">
    <w:name w:val="Aralık Yok Char"/>
    <w:basedOn w:val="8"/>
    <w:link w:val="44"/>
    <w:uiPriority w:val="1"/>
    <w:rPr>
      <w:rFonts w:eastAsiaTheme="minorEastAsia"/>
      <w:lang w:val="en-US" w:eastAsia="zh-CN"/>
    </w:rPr>
  </w:style>
  <w:style w:type="character" w:customStyle="1" w:styleId="46">
    <w:name w:val="Balon Metni Char"/>
    <w:basedOn w:val="8"/>
    <w:link w:val="10"/>
    <w:semiHidden/>
    <w:uiPriority w:val="99"/>
    <w:rPr>
      <w:rFonts w:ascii="Segoe UI" w:hAnsi="Segoe UI"/>
      <w:sz w:val="18"/>
      <w:szCs w:val="18"/>
    </w:rPr>
  </w:style>
  <w:style w:type="paragraph" w:customStyle="1" w:styleId="47">
    <w:name w:val="Revision"/>
    <w:hidden/>
    <w:semiHidden/>
    <w:uiPriority w:val="99"/>
    <w:pPr>
      <w:widowControl w:val="0"/>
    </w:pPr>
    <w:rPr>
      <w:rFonts w:ascii="Calibri" w:hAnsi="Calibri" w:eastAsia="Calibri" w:cs="Calibri"/>
      <w:sz w:val="24"/>
      <w:szCs w:val="24"/>
      <w:lang w:val="tr-TR" w:eastAsia="tr-TR" w:bidi="ar-SA"/>
    </w:rPr>
  </w:style>
  <w:style w:type="character" w:customStyle="1" w:styleId="48">
    <w:name w:val="Açıklama Metni Char"/>
    <w:basedOn w:val="8"/>
    <w:link w:val="13"/>
    <w:uiPriority w:val="99"/>
    <w:rPr>
      <w:sz w:val="20"/>
      <w:szCs w:val="20"/>
    </w:rPr>
  </w:style>
  <w:style w:type="character" w:customStyle="1" w:styleId="49">
    <w:name w:val="Açıklama Konusu Char"/>
    <w:basedOn w:val="48"/>
    <w:link w:val="14"/>
    <w:semiHidden/>
    <w:uiPriority w:val="99"/>
    <w:rPr>
      <w:b/>
      <w:bCs/>
      <w:sz w:val="20"/>
      <w:szCs w:val="20"/>
    </w:rPr>
  </w:style>
  <w:style w:type="character" w:customStyle="1" w:styleId="50">
    <w:name w:val="Üst Bilgi Char"/>
    <w:basedOn w:val="8"/>
    <w:link w:val="19"/>
    <w:uiPriority w:val="99"/>
  </w:style>
  <w:style w:type="character" w:customStyle="1" w:styleId="51">
    <w:name w:val="Alt Bilgi Char"/>
    <w:basedOn w:val="8"/>
    <w:link w:val="16"/>
    <w:uiPriority w:val="99"/>
  </w:style>
  <w:style w:type="table" w:customStyle="1" w:styleId="52">
    <w:name w:val="Table Normal1"/>
    <w:semiHidden/>
    <w:unhideWhenUsed/>
    <w:qFormat/>
    <w:uiPriority w:val="2"/>
    <w:rPr>
      <w:lang w:val="en-US"/>
    </w:rPr>
    <w:tblPr>
      <w:tblCellMar>
        <w:top w:w="0" w:type="dxa"/>
        <w:left w:w="0" w:type="dxa"/>
        <w:bottom w:w="0" w:type="dxa"/>
        <w:right w:w="0" w:type="dxa"/>
      </w:tblCellMar>
    </w:tblPr>
  </w:style>
  <w:style w:type="paragraph" w:customStyle="1" w:styleId="53">
    <w:name w:val="Table Paragraph"/>
    <w:basedOn w:val="1"/>
    <w:qFormat/>
    <w:uiPriority w:val="1"/>
  </w:style>
  <w:style w:type="paragraph" w:customStyle="1" w:styleId="54">
    <w:name w:val="Default"/>
    <w:uiPriority w:val="0"/>
    <w:pPr>
      <w:widowControl w:val="0"/>
      <w:autoSpaceDE w:val="0"/>
      <w:autoSpaceDN w:val="0"/>
      <w:adjustRightInd w:val="0"/>
    </w:pPr>
    <w:rPr>
      <w:rFonts w:ascii="Calibri" w:hAnsi="Calibri" w:eastAsia="Calibri" w:cs="Calibri"/>
      <w:color w:val="000000"/>
      <w:sz w:val="24"/>
      <w:szCs w:val="24"/>
      <w:lang w:val="en-US" w:eastAsia="tr-TR" w:bidi="ar-SA"/>
    </w:rPr>
  </w:style>
  <w:style w:type="paragraph" w:customStyle="1" w:styleId="55">
    <w:name w:val="TOC Heading"/>
    <w:basedOn w:val="2"/>
    <w:next w:val="1"/>
    <w:unhideWhenUsed/>
    <w:qFormat/>
    <w:uiPriority w:val="39"/>
    <w:pPr>
      <w:keepNext/>
      <w:keepLines/>
      <w:spacing w:before="240"/>
      <w:outlineLvl w:val="9"/>
    </w:pPr>
    <w:rPr>
      <w:rFonts w:asciiTheme="majorHAnsi" w:hAnsiTheme="majorHAnsi" w:eastAsiaTheme="majorEastAsia" w:cstheme="majorBidi"/>
      <w:b w:val="0"/>
      <w:bCs w:val="0"/>
    </w:rPr>
  </w:style>
  <w:style w:type="character" w:customStyle="1" w:styleId="56">
    <w:name w:val="Başlık 5 Char"/>
    <w:basedOn w:val="8"/>
    <w:link w:val="6"/>
    <w:uiPriority w:val="9"/>
    <w:rPr>
      <w:rFonts w:ascii="Calibri" w:hAnsi="Calibri" w:eastAsia="Times New Roman" w:cs="Times New Roman"/>
      <w:b/>
      <w:bCs/>
      <w:i/>
      <w:iCs/>
      <w:sz w:val="26"/>
      <w:szCs w:val="26"/>
      <w:lang w:eastAsia="tr-TR"/>
    </w:rPr>
  </w:style>
  <w:style w:type="character" w:customStyle="1" w:styleId="57">
    <w:name w:val="Başlık 6 Char"/>
    <w:basedOn w:val="8"/>
    <w:link w:val="7"/>
    <w:uiPriority w:val="9"/>
    <w:rPr>
      <w:rFonts w:ascii="Calibri" w:hAnsi="Calibri" w:eastAsia="Times New Roman" w:cs="Times New Roman"/>
      <w:b/>
      <w:bCs/>
      <w:lang w:eastAsia="tr-TR"/>
    </w:rPr>
  </w:style>
  <w:style w:type="table" w:customStyle="1" w:styleId="58">
    <w:name w:val="TableGrid"/>
    <w:uiPriority w:val="0"/>
    <w:rPr>
      <w:rFonts w:eastAsiaTheme="minorEastAsia"/>
    </w:rPr>
    <w:tblPr>
      <w:tblCellMar>
        <w:top w:w="0" w:type="dxa"/>
        <w:left w:w="0" w:type="dxa"/>
        <w:bottom w:w="0" w:type="dxa"/>
        <w:right w:w="0" w:type="dxa"/>
      </w:tblCellMar>
    </w:tblPr>
  </w:style>
  <w:style w:type="paragraph" w:customStyle="1" w:styleId="59">
    <w:name w:val="İÇT Başlığı1"/>
    <w:basedOn w:val="2"/>
    <w:next w:val="1"/>
    <w:semiHidden/>
    <w:unhideWhenUsed/>
    <w:qFormat/>
    <w:uiPriority w:val="39"/>
    <w:pPr>
      <w:keepNext/>
      <w:keepLines/>
      <w:widowControl/>
      <w:spacing w:before="480" w:line="276" w:lineRule="auto"/>
      <w:outlineLvl w:val="9"/>
    </w:pPr>
    <w:rPr>
      <w:rFonts w:ascii="Cambria" w:hAnsi="Cambria" w:cs="Times New Roman"/>
      <w:color w:val="365F91"/>
      <w:sz w:val="28"/>
      <w:szCs w:val="28"/>
      <w:u w:color="000000"/>
      <w:lang w:eastAsia="ja-JP"/>
    </w:rPr>
  </w:style>
  <w:style w:type="character" w:customStyle="1" w:styleId="60">
    <w:name w:val="Üst Bilgi Char1"/>
    <w:basedOn w:val="8"/>
    <w:uiPriority w:val="99"/>
    <w:rPr>
      <w:rFonts w:ascii="Times New Roman" w:hAnsi="Times New Roman" w:eastAsia="Times New Roman" w:cs="Times New Roman"/>
      <w:color w:val="000000"/>
      <w:sz w:val="20"/>
    </w:rPr>
  </w:style>
  <w:style w:type="character" w:customStyle="1" w:styleId="61">
    <w:name w:val="Alt Bilgi Char1"/>
    <w:basedOn w:val="8"/>
    <w:uiPriority w:val="99"/>
    <w:rPr>
      <w:rFonts w:ascii="Times New Roman" w:hAnsi="Times New Roman" w:eastAsia="Times New Roman" w:cs="Times New Roman"/>
      <w:color w:val="000000"/>
      <w:sz w:val="20"/>
    </w:rPr>
  </w:style>
  <w:style w:type="character" w:customStyle="1" w:styleId="62">
    <w:name w:val="Dipnot Metni Char"/>
    <w:basedOn w:val="8"/>
    <w:link w:val="18"/>
    <w:semiHidden/>
    <w:uiPriority w:val="99"/>
    <w:rPr>
      <w:rFonts w:ascii="Times New Roman" w:hAnsi="Times New Roman" w:eastAsia="Times New Roman" w:cs="Times New Roman"/>
      <w:color w:val="000000"/>
      <w:sz w:val="20"/>
      <w:szCs w:val="20"/>
      <w:lang w:eastAsia="tr-TR"/>
    </w:rPr>
  </w:style>
  <w:style w:type="table" w:customStyle="1" w:styleId="63">
    <w:name w:val="Plain Table 1"/>
    <w:basedOn w:val="9"/>
    <w:uiPriority w:val="41"/>
    <w:rPr>
      <w:rFonts w:eastAsiaTheme="minorEastAsia"/>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4">
    <w:name w:val="Grid Table 2 Accent 1"/>
    <w:basedOn w:val="9"/>
    <w:uiPriority w:val="47"/>
    <w:rPr>
      <w:rFonts w:eastAsiaTheme="minorEastAsia"/>
    </w:rPr>
    <w:tblPr>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cPr>
        <w:tcBorders>
          <w:top w:val="nil"/>
          <w:bottom w:val="single" w:color="8EAADB" w:themeColor="accent1" w:themeTint="99" w:sz="12" w:space="0"/>
          <w:insideH w:val="nil"/>
          <w:insideV w:val="nil"/>
        </w:tcBorders>
        <w:shd w:val="clear" w:color="auto" w:fill="FFFFFF" w:themeFill="background1"/>
      </w:tcPr>
    </w:tblStylePr>
    <w:tblStylePr w:type="lastRow">
      <w:rPr>
        <w:b/>
        <w:bCs/>
      </w:r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65">
    <w:name w:val="Plain Table 5"/>
    <w:basedOn w:val="9"/>
    <w:uiPriority w:val="45"/>
    <w:rPr>
      <w:rFonts w:eastAsiaTheme="minorEastAsia"/>
    </w:r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6">
    <w:name w:val="List Table 7 Colorful Accent 5"/>
    <w:basedOn w:val="9"/>
    <w:uiPriority w:val="52"/>
    <w:rPr>
      <w:rFonts w:eastAsiaTheme="minorEastAsia"/>
      <w:color w:val="2E75B6" w:themeColor="accent5" w:themeShade="BF"/>
    </w:rPr>
    <w:tblStylePr w:type="firstRow">
      <w:rPr>
        <w:rFonts w:asciiTheme="majorHAnsi" w:hAnsiTheme="majorHAnsi" w:eastAsiaTheme="majorEastAsia" w:cstheme="majorBidi"/>
        <w:i/>
        <w:iCs/>
        <w:sz w:val="26"/>
      </w:r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5" w:sz="4" w:space="0"/>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67">
    <w:name w:val="Plain Table 3"/>
    <w:basedOn w:val="9"/>
    <w:uiPriority w:val="43"/>
    <w:rPr>
      <w:rFonts w:eastAsiaTheme="minorEastAsia"/>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68">
    <w:name w:val="Grid Table Light"/>
    <w:basedOn w:val="9"/>
    <w:uiPriority w:val="40"/>
    <w:rPr>
      <w:rFonts w:eastAsiaTheme="minorEastAsia"/>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69">
    <w:name w:val="Plain Table 2"/>
    <w:basedOn w:val="9"/>
    <w:uiPriority w:val="42"/>
    <w:rPr>
      <w:rFonts w:eastAsiaTheme="minorEastAsia"/>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0">
    <w:name w:val="List Table 7 Colorful Accent 3"/>
    <w:basedOn w:val="9"/>
    <w:uiPriority w:val="52"/>
    <w:rPr>
      <w:rFonts w:eastAsiaTheme="minorEastAsia"/>
      <w:color w:val="7C7C7C" w:themeColor="accent3" w:themeShade="BF"/>
    </w:r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1">
    <w:name w:val="List Table 2"/>
    <w:basedOn w:val="9"/>
    <w:uiPriority w:val="47"/>
    <w:rPr>
      <w:rFonts w:eastAsiaTheme="minorEastAsia"/>
    </w:r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2">
    <w:name w:val="List Table 1 Light Accent 3"/>
    <w:basedOn w:val="9"/>
    <w:uiPriority w:val="46"/>
    <w:rPr>
      <w:rFonts w:eastAsiaTheme="minorEastAsia"/>
    </w:r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Grid Table 7 Colorful"/>
    <w:basedOn w:val="9"/>
    <w:uiPriority w:val="52"/>
    <w:rPr>
      <w:rFonts w:eastAsiaTheme="minorEastAsia"/>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74">
    <w:name w:val="Grid Table 6 Colorful Accent 5"/>
    <w:basedOn w:val="9"/>
    <w:uiPriority w:val="51"/>
    <w:rPr>
      <w:rFonts w:eastAsiaTheme="minorEastAsia"/>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75">
    <w:name w:val="Grid Table 6 Colorful"/>
    <w:basedOn w:val="9"/>
    <w:uiPriority w:val="51"/>
    <w:rPr>
      <w:rFonts w:eastAsiaTheme="minorEastAsia"/>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6">
    <w:name w:val="Tablo Kılavuzu2"/>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Tablo Kılavuzu11"/>
    <w:basedOn w:val="9"/>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
    <w:name w:val="İzlenen Köprü1"/>
    <w:basedOn w:val="8"/>
    <w:semiHidden/>
    <w:unhideWhenUsed/>
    <w:uiPriority w:val="99"/>
    <w:rPr>
      <w:color w:val="954F72"/>
      <w:u w:val="single"/>
    </w:rPr>
  </w:style>
  <w:style w:type="character" w:customStyle="1" w:styleId="79">
    <w:name w:val="Üstbilgi Char"/>
    <w:uiPriority w:val="99"/>
    <w:rPr>
      <w:lang w:val="tr-TR"/>
    </w:rPr>
  </w:style>
  <w:style w:type="character" w:customStyle="1" w:styleId="80">
    <w:name w:val="Altbilgi Char"/>
    <w:uiPriority w:val="99"/>
  </w:style>
  <w:style w:type="character" w:customStyle="1" w:styleId="81">
    <w:name w:val="Çözümlenmeyen Bahsetme1"/>
    <w:basedOn w:val="8"/>
    <w:semiHidden/>
    <w:unhideWhenUsed/>
    <w:uiPriority w:val="99"/>
    <w:rPr>
      <w:color w:val="605E5C"/>
      <w:shd w:val="clear" w:color="auto" w:fill="E1DFDD"/>
    </w:rPr>
  </w:style>
  <w:style w:type="character" w:customStyle="1" w:styleId="82">
    <w:name w:val="Çözümlenmeyen Bahsetme11"/>
    <w:basedOn w:val="8"/>
    <w:semiHidden/>
    <w:unhideWhenUsed/>
    <w:uiPriority w:val="99"/>
    <w:rPr>
      <w:color w:val="605E5C"/>
      <w:shd w:val="clear" w:color="auto" w:fill="E1DFDD"/>
    </w:rPr>
  </w:style>
  <w:style w:type="paragraph" w:customStyle="1" w:styleId="83">
    <w:name w:val="ydpff4a7d3dmsonormal"/>
    <w:basedOn w:val="1"/>
    <w:uiPriority w:val="0"/>
    <w:pPr>
      <w:widowControl/>
      <w:spacing w:before="100" w:beforeAutospacing="1" w:after="100" w:afterAutospacing="1"/>
    </w:pPr>
  </w:style>
  <w:style w:type="table" w:customStyle="1" w:styleId="84">
    <w:name w:val="Tablo Kılavuzu3"/>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Tablo Kılavuzu12"/>
    <w:basedOn w:val="9"/>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Table Normal11"/>
    <w:semiHidden/>
    <w:unhideWhenUsed/>
    <w:qFormat/>
    <w:uiPriority w:val="2"/>
    <w:rPr>
      <w:lang w:val="en-US"/>
    </w:rPr>
    <w:tblPr>
      <w:tblCellMar>
        <w:top w:w="0" w:type="dxa"/>
        <w:left w:w="0" w:type="dxa"/>
        <w:bottom w:w="0" w:type="dxa"/>
        <w:right w:w="0" w:type="dxa"/>
      </w:tblCellMar>
    </w:tblPr>
  </w:style>
  <w:style w:type="table" w:customStyle="1" w:styleId="87">
    <w:name w:val="TableGrid1"/>
    <w:uiPriority w:val="0"/>
    <w:rPr>
      <w:rFonts w:eastAsiaTheme="minorEastAsia"/>
    </w:rPr>
    <w:tblPr>
      <w:tblCellMar>
        <w:top w:w="0" w:type="dxa"/>
        <w:left w:w="0" w:type="dxa"/>
        <w:bottom w:w="0" w:type="dxa"/>
        <w:right w:w="0" w:type="dxa"/>
      </w:tblCellMar>
    </w:tblPr>
  </w:style>
  <w:style w:type="table" w:customStyle="1" w:styleId="88">
    <w:name w:val="Düz Tablo 11"/>
    <w:basedOn w:val="9"/>
    <w:uiPriority w:val="41"/>
    <w:rPr>
      <w:rFonts w:eastAsiaTheme="minorEastAsia"/>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89">
    <w:name w:val="Kılavuz Tablo 2 - Vurgu 11"/>
    <w:basedOn w:val="9"/>
    <w:uiPriority w:val="47"/>
    <w:rPr>
      <w:rFonts w:eastAsiaTheme="minorEastAsia"/>
    </w:rPr>
    <w:tblPr>
      <w:tblBorders>
        <w:top w:val="single" w:color="8EAADB" w:sz="2" w:space="0"/>
        <w:bottom w:val="single" w:color="8EAADB" w:sz="2" w:space="0"/>
        <w:insideH w:val="single" w:color="8EAADB" w:sz="2" w:space="0"/>
        <w:insideV w:val="single" w:color="8EAADB" w:sz="2" w:space="0"/>
      </w:tblBorders>
    </w:tblPr>
    <w:tblStylePr w:type="firstRow">
      <w:rPr>
        <w:b/>
        <w:bCs/>
      </w:rPr>
      <w:tcPr>
        <w:tcBorders>
          <w:top w:val="nil"/>
          <w:bottom w:val="single" w:color="8EAADB" w:sz="12" w:space="0"/>
          <w:insideH w:val="nil"/>
          <w:insideV w:val="nil"/>
        </w:tcBorders>
        <w:shd w:val="clear" w:color="auto" w:fill="FFFFFF"/>
      </w:tcPr>
    </w:tblStylePr>
    <w:tblStylePr w:type="lastRow">
      <w:rPr>
        <w:b/>
        <w:bCs/>
      </w:r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90">
    <w:name w:val="Düz Tablo 51"/>
    <w:basedOn w:val="9"/>
    <w:uiPriority w:val="45"/>
    <w:rPr>
      <w:rFonts w:eastAsiaTheme="minorEastAsia"/>
    </w:rPr>
    <w:tblStylePr w:type="firstRow">
      <w:rPr>
        <w:rFonts w:ascii="Calibri Light" w:hAnsi="Calibri Light" w:eastAsia="Times New Roman" w:cs="Times New Roman"/>
        <w:i/>
        <w:iCs/>
        <w:sz w:val="26"/>
      </w:rPr>
      <w:tcPr>
        <w:tcBorders>
          <w:bottom w:val="single" w:color="7F7F7F" w:sz="4" w:space="0"/>
        </w:tcBorders>
        <w:shd w:val="clear" w:color="auto" w:fill="FFFFFF"/>
      </w:tcPr>
    </w:tblStylePr>
    <w:tblStylePr w:type="lastRow">
      <w:rPr>
        <w:rFonts w:ascii="Calibri Light" w:hAnsi="Calibri Light" w:eastAsia="Times New Roman" w:cs="Times New Roman"/>
        <w:i/>
        <w:iCs/>
        <w:sz w:val="26"/>
      </w:rPr>
      <w:tcPr>
        <w:tcBorders>
          <w:top w:val="single" w:color="7F7F7F" w:sz="4" w:space="0"/>
        </w:tcBorders>
        <w:shd w:val="clear" w:color="auto" w:fill="FFFFFF"/>
      </w:tcPr>
    </w:tblStylePr>
    <w:tblStylePr w:type="firstCol">
      <w:pPr>
        <w:jc w:val="right"/>
      </w:pPr>
      <w:rPr>
        <w:rFonts w:ascii="Calibri Light" w:hAnsi="Calibri Light" w:eastAsia="Times New Roman" w:cs="Times New Roman"/>
        <w:i/>
        <w:iCs/>
        <w:sz w:val="26"/>
      </w:rPr>
      <w:tcPr>
        <w:tcBorders>
          <w:right w:val="single" w:color="7F7F7F" w:sz="4" w:space="0"/>
        </w:tcBorders>
        <w:shd w:val="clear" w:color="auto" w:fill="FFFFFF"/>
      </w:tcPr>
    </w:tblStylePr>
    <w:tblStylePr w:type="lastCol">
      <w:rPr>
        <w:rFonts w:ascii="Calibri Light" w:hAnsi="Calibri Light" w:eastAsia="Times New Roman" w:cs="Times New Roman"/>
        <w:i/>
        <w:iCs/>
        <w:sz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1">
    <w:name w:val="Liste Tablo 7 Renkli - Vurgu 51"/>
    <w:basedOn w:val="9"/>
    <w:uiPriority w:val="52"/>
    <w:rPr>
      <w:rFonts w:eastAsiaTheme="minorEastAsia"/>
      <w:color w:val="2E74B5"/>
    </w:rPr>
    <w:tblStylePr w:type="firstRow">
      <w:rPr>
        <w:rFonts w:ascii="Calibri Light" w:hAnsi="Calibri Light" w:eastAsia="Times New Roman" w:cs="Times New Roman"/>
        <w:i/>
        <w:iCs/>
        <w:sz w:val="26"/>
      </w:rPr>
      <w:tcPr>
        <w:tcBorders>
          <w:bottom w:val="single" w:color="5B9BD5" w:sz="4" w:space="0"/>
        </w:tcBorders>
        <w:shd w:val="clear" w:color="auto" w:fill="FFFFFF"/>
      </w:tcPr>
    </w:tblStylePr>
    <w:tblStylePr w:type="lastRow">
      <w:rPr>
        <w:rFonts w:ascii="Calibri Light" w:hAnsi="Calibri Light" w:eastAsia="Times New Roman" w:cs="Times New Roman"/>
        <w:i/>
        <w:iCs/>
        <w:sz w:val="26"/>
      </w:rPr>
      <w:tcPr>
        <w:tcBorders>
          <w:top w:val="single" w:color="5B9BD5" w:sz="4" w:space="0"/>
        </w:tcBorders>
        <w:shd w:val="clear" w:color="auto" w:fill="FFFFFF"/>
      </w:tcPr>
    </w:tblStylePr>
    <w:tblStylePr w:type="firstCol">
      <w:pPr>
        <w:jc w:val="right"/>
      </w:pPr>
      <w:rPr>
        <w:rFonts w:ascii="Calibri Light" w:hAnsi="Calibri Light" w:eastAsia="Times New Roman" w:cs="Times New Roman"/>
        <w:i/>
        <w:iCs/>
        <w:sz w:val="26"/>
      </w:rPr>
      <w:tcPr>
        <w:tcBorders>
          <w:right w:val="single" w:color="5B9BD5" w:sz="4" w:space="0"/>
        </w:tcBorders>
        <w:shd w:val="clear" w:color="auto" w:fill="FFFFFF"/>
      </w:tcPr>
    </w:tblStylePr>
    <w:tblStylePr w:type="lastCol">
      <w:rPr>
        <w:rFonts w:ascii="Calibri Light" w:hAnsi="Calibri Light" w:eastAsia="Times New Roman" w:cs="Times New Roman"/>
        <w:i/>
        <w:iCs/>
        <w:sz w:val="26"/>
      </w:rPr>
      <w:tcPr>
        <w:tcBorders>
          <w:left w:val="single" w:color="5B9BD5" w:sz="4" w:space="0"/>
        </w:tcBorders>
        <w:shd w:val="clear" w:color="auto" w:fill="FFFFFF"/>
      </w:tcPr>
    </w:tblStylePr>
    <w:tblStylePr w:type="band1Vert">
      <w:tcPr>
        <w:shd w:val="clear" w:color="auto" w:fill="DEEAF6"/>
      </w:tcPr>
    </w:tblStylePr>
    <w:tblStylePr w:type="band1Horz">
      <w:tcPr>
        <w:shd w:val="clear" w:color="auto" w:fill="DEEAF6"/>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2">
    <w:name w:val="Düz Tablo 31"/>
    <w:basedOn w:val="9"/>
    <w:uiPriority w:val="43"/>
    <w:rPr>
      <w:rFonts w:eastAsiaTheme="minorEastAsia"/>
    </w:r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93">
    <w:name w:val="Tablo Kılavuzu Açık1"/>
    <w:basedOn w:val="9"/>
    <w:uiPriority w:val="40"/>
    <w:rPr>
      <w:rFonts w:eastAsiaTheme="minorEastAsia"/>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4">
    <w:name w:val="Düz Tablo 21"/>
    <w:basedOn w:val="9"/>
    <w:uiPriority w:val="42"/>
    <w:rPr>
      <w:rFonts w:eastAsiaTheme="minorEastAsia"/>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5">
    <w:name w:val="Açık Liste - Vurgu 11"/>
    <w:basedOn w:val="9"/>
    <w:uiPriority w:val="61"/>
    <w:rPr>
      <w:rFonts w:eastAsiaTheme="minorEastAsia"/>
    </w:rPr>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tcBorders>
      </w:tcPr>
    </w:tblStylePr>
    <w:tblStylePr w:type="band1Horz">
      <w:tcPr>
        <w:tcBorders>
          <w:top w:val="single" w:color="4472C4" w:sz="8" w:space="0"/>
          <w:left w:val="single" w:color="4472C4" w:sz="8" w:space="0"/>
          <w:bottom w:val="single" w:color="4472C4" w:sz="8" w:space="0"/>
          <w:right w:val="single" w:color="4472C4" w:sz="8" w:space="0"/>
        </w:tcBorders>
      </w:tcPr>
    </w:tblStylePr>
  </w:style>
  <w:style w:type="table" w:customStyle="1" w:styleId="96">
    <w:name w:val="Liste Tablo 7 Renkli - Vurgu 31"/>
    <w:basedOn w:val="9"/>
    <w:uiPriority w:val="52"/>
    <w:rPr>
      <w:rFonts w:eastAsiaTheme="minorEastAsia"/>
      <w:color w:val="7B7B7B"/>
    </w:rPr>
    <w:tblStylePr w:type="firstRow">
      <w:rPr>
        <w:rFonts w:ascii="Calibri Light" w:hAnsi="Calibri Light" w:eastAsia="Times New Roman" w:cs="Times New Roman"/>
        <w:i/>
        <w:iCs/>
        <w:sz w:val="26"/>
      </w:rPr>
      <w:tcPr>
        <w:tcBorders>
          <w:bottom w:val="single" w:color="A5A5A5" w:sz="4" w:space="0"/>
        </w:tcBorders>
        <w:shd w:val="clear" w:color="auto" w:fill="FFFFFF"/>
      </w:tcPr>
    </w:tblStylePr>
    <w:tblStylePr w:type="lastRow">
      <w:rPr>
        <w:rFonts w:ascii="Calibri Light" w:hAnsi="Calibri Light" w:eastAsia="Times New Roman" w:cs="Times New Roman"/>
        <w:i/>
        <w:iCs/>
        <w:sz w:val="26"/>
      </w:rPr>
      <w:tcPr>
        <w:tcBorders>
          <w:top w:val="single" w:color="A5A5A5" w:sz="4" w:space="0"/>
        </w:tcBorders>
        <w:shd w:val="clear" w:color="auto" w:fill="FFFFFF"/>
      </w:tcPr>
    </w:tblStylePr>
    <w:tblStylePr w:type="firstCol">
      <w:pPr>
        <w:jc w:val="right"/>
      </w:pPr>
      <w:rPr>
        <w:rFonts w:ascii="Calibri Light" w:hAnsi="Calibri Light" w:eastAsia="Times New Roman" w:cs="Times New Roman"/>
        <w:i/>
        <w:iCs/>
        <w:sz w:val="26"/>
      </w:rPr>
      <w:tcPr>
        <w:tcBorders>
          <w:right w:val="single" w:color="A5A5A5" w:sz="4" w:space="0"/>
        </w:tcBorders>
        <w:shd w:val="clear" w:color="auto" w:fill="FFFFFF"/>
      </w:tcPr>
    </w:tblStylePr>
    <w:tblStylePr w:type="lastCol">
      <w:rPr>
        <w:rFonts w:ascii="Calibri Light" w:hAnsi="Calibri Light" w:eastAsia="Times New Roman" w:cs="Times New Roman"/>
        <w:i/>
        <w:iCs/>
        <w:sz w:val="26"/>
      </w:rPr>
      <w:tcPr>
        <w:tcBorders>
          <w:left w:val="single" w:color="A5A5A5" w:sz="4" w:space="0"/>
        </w:tcBorders>
        <w:shd w:val="clear" w:color="auto" w:fill="FFFFFF"/>
      </w:tcPr>
    </w:tblStylePr>
    <w:tblStylePr w:type="band1Vert">
      <w:tcPr>
        <w:shd w:val="clear" w:color="auto" w:fill="EDEDED"/>
      </w:tcPr>
    </w:tblStylePr>
    <w:tblStylePr w:type="band1Horz">
      <w:tcPr>
        <w:shd w:val="clear" w:color="auto" w:fill="EDEDED"/>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7">
    <w:name w:val="Liste Tablo 21"/>
    <w:basedOn w:val="9"/>
    <w:uiPriority w:val="47"/>
    <w:rPr>
      <w:rFonts w:eastAsiaTheme="minorEastAsia"/>
    </w:rPr>
    <w:tblPr>
      <w:tblBorders>
        <w:top w:val="single" w:color="666666" w:sz="4" w:space="0"/>
        <w:bottom w:val="single" w:color="666666" w:sz="4" w:space="0"/>
        <w:insideH w:val="single" w:color="666666"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98">
    <w:name w:val="Liste Tablo 1 Açık - Vurgu 31"/>
    <w:basedOn w:val="9"/>
    <w:uiPriority w:val="46"/>
    <w:rPr>
      <w:rFonts w:eastAsiaTheme="minorEastAsia"/>
    </w:rPr>
    <w:tblStylePr w:type="firstRow">
      <w:rPr>
        <w:b/>
        <w:bCs/>
      </w:rPr>
      <w:tcPr>
        <w:tcBorders>
          <w:bottom w:val="single" w:color="C9C9C9" w:sz="4" w:space="0"/>
        </w:tcBorders>
      </w:tcPr>
    </w:tblStylePr>
    <w:tblStylePr w:type="lastRow">
      <w:rPr>
        <w:b/>
        <w:bCs/>
      </w:rPr>
      <w:tcPr>
        <w:tcBorders>
          <w:top w:val="single" w:color="C9C9C9"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99">
    <w:name w:val="Kılavuz Tablo 7 Renkli1"/>
    <w:basedOn w:val="9"/>
    <w:uiPriority w:val="52"/>
    <w:rPr>
      <w:rFonts w:eastAsiaTheme="minorEastAsia"/>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00">
    <w:name w:val="Kılavuz Tablo 6 - Renkli - Vurgu 51"/>
    <w:basedOn w:val="9"/>
    <w:uiPriority w:val="51"/>
    <w:rPr>
      <w:rFonts w:eastAsiaTheme="minorEastAsia"/>
      <w:color w:val="2E74B5"/>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cPr>
        <w:tcBorders>
          <w:bottom w:val="single" w:color="9CC2E5" w:sz="12" w:space="0"/>
        </w:tcBorders>
      </w:tcPr>
    </w:tblStylePr>
    <w:tblStylePr w:type="lastRow">
      <w:rPr>
        <w:b/>
        <w:bCs/>
      </w:rPr>
      <w:tcPr>
        <w:tcBorders>
          <w:top w:val="double" w:color="9CC2E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01">
    <w:name w:val="Kılavuz Tablo 6 Renkli1"/>
    <w:basedOn w:val="9"/>
    <w:uiPriority w:val="51"/>
    <w:rPr>
      <w:rFonts w:eastAsiaTheme="minorEastAsia"/>
      <w:color w:val="00000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2">
    <w:name w:val="Tablo Kılavuzu21"/>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Tablo Kılavuzu111"/>
    <w:basedOn w:val="9"/>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_Style 102"/>
    <w:basedOn w:val="36"/>
    <w:uiPriority w:val="0"/>
    <w:rPr>
      <w:color w:val="000000"/>
      <w:sz w:val="24"/>
      <w:szCs w:val="24"/>
    </w:rPr>
    <w:tblPr>
      <w:tblCellMar>
        <w:left w:w="108" w:type="dxa"/>
        <w:right w:w="108" w:type="dxa"/>
      </w:tblCellMar>
    </w:tblPr>
  </w:style>
  <w:style w:type="table" w:customStyle="1" w:styleId="105">
    <w:name w:val="_Style 103"/>
    <w:basedOn w:val="36"/>
    <w:uiPriority w:val="0"/>
    <w:tblPr>
      <w:tblCellMar>
        <w:top w:w="100" w:type="dxa"/>
        <w:left w:w="100" w:type="dxa"/>
        <w:bottom w:w="100" w:type="dxa"/>
        <w:right w:w="100" w:type="dxa"/>
      </w:tblCellMar>
    </w:tblPr>
  </w:style>
  <w:style w:type="table" w:customStyle="1" w:styleId="106">
    <w:name w:val="_Style 104"/>
    <w:basedOn w:val="36"/>
    <w:uiPriority w:val="0"/>
    <w:rPr>
      <w:color w:val="000000"/>
      <w:sz w:val="24"/>
      <w:szCs w:val="24"/>
    </w:rPr>
    <w:tblPr>
      <w:tblCellMar>
        <w:left w:w="108" w:type="dxa"/>
        <w:right w:w="108" w:type="dxa"/>
      </w:tblCellMar>
    </w:tblPr>
  </w:style>
  <w:style w:type="table" w:customStyle="1" w:styleId="107">
    <w:name w:val="_Style 105"/>
    <w:basedOn w:val="36"/>
    <w:uiPriority w:val="0"/>
    <w:rPr>
      <w:color w:val="000000"/>
      <w:sz w:val="24"/>
      <w:szCs w:val="24"/>
    </w:rPr>
    <w:tblPr>
      <w:tblCellMar>
        <w:left w:w="108" w:type="dxa"/>
        <w:right w:w="108" w:type="dxa"/>
      </w:tblCellMar>
    </w:tblPr>
  </w:style>
  <w:style w:type="table" w:customStyle="1" w:styleId="108">
    <w:name w:val="_Style 106"/>
    <w:basedOn w:val="36"/>
    <w:uiPriority w:val="0"/>
    <w:rPr>
      <w:color w:val="000000"/>
      <w:sz w:val="24"/>
      <w:szCs w:val="24"/>
    </w:rPr>
    <w:tblPr>
      <w:tblCellMar>
        <w:left w:w="108" w:type="dxa"/>
        <w:right w:w="108" w:type="dxa"/>
      </w:tblCellMar>
    </w:tblPr>
  </w:style>
  <w:style w:type="table" w:customStyle="1" w:styleId="109">
    <w:name w:val="_Style 107"/>
    <w:basedOn w:val="36"/>
    <w:uiPriority w:val="0"/>
    <w:rPr>
      <w:color w:val="000000"/>
      <w:sz w:val="24"/>
      <w:szCs w:val="24"/>
    </w:rPr>
    <w:tblPr>
      <w:tblCellMar>
        <w:left w:w="108" w:type="dxa"/>
        <w:right w:w="108" w:type="dxa"/>
      </w:tblCellMar>
    </w:tblPr>
  </w:style>
  <w:style w:type="table" w:customStyle="1" w:styleId="110">
    <w:name w:val="_Style 108"/>
    <w:basedOn w:val="36"/>
    <w:uiPriority w:val="0"/>
    <w:rPr>
      <w:color w:val="000000"/>
      <w:sz w:val="24"/>
      <w:szCs w:val="24"/>
    </w:rPr>
    <w:tblPr>
      <w:tblCellMar>
        <w:left w:w="108" w:type="dxa"/>
        <w:right w:w="108" w:type="dxa"/>
      </w:tblCellMar>
    </w:tblPr>
  </w:style>
  <w:style w:type="table" w:customStyle="1" w:styleId="111">
    <w:name w:val="_Style 109"/>
    <w:basedOn w:val="36"/>
    <w:uiPriority w:val="0"/>
    <w:rPr>
      <w:color w:val="000000"/>
      <w:sz w:val="24"/>
      <w:szCs w:val="24"/>
    </w:rPr>
    <w:tblPr>
      <w:tblCellMar>
        <w:left w:w="108" w:type="dxa"/>
        <w:right w:w="108" w:type="dxa"/>
      </w:tblCellMar>
    </w:tblPr>
  </w:style>
  <w:style w:type="table" w:customStyle="1" w:styleId="112">
    <w:name w:val="_Style 110"/>
    <w:basedOn w:val="36"/>
    <w:uiPriority w:val="0"/>
    <w:rPr>
      <w:color w:val="000000"/>
      <w:sz w:val="24"/>
      <w:szCs w:val="24"/>
    </w:rPr>
    <w:tblPr>
      <w:tblCellMar>
        <w:left w:w="108" w:type="dxa"/>
        <w:right w:w="108" w:type="dxa"/>
      </w:tblCellMar>
    </w:tblPr>
  </w:style>
  <w:style w:type="table" w:customStyle="1" w:styleId="113">
    <w:name w:val="_Style 111"/>
    <w:basedOn w:val="36"/>
    <w:uiPriority w:val="0"/>
    <w:rPr>
      <w:color w:val="000000"/>
      <w:sz w:val="24"/>
      <w:szCs w:val="24"/>
    </w:rPr>
    <w:tblPr>
      <w:tblCellMar>
        <w:left w:w="108" w:type="dxa"/>
        <w:right w:w="108" w:type="dxa"/>
      </w:tblCellMar>
    </w:tblPr>
  </w:style>
  <w:style w:type="table" w:customStyle="1" w:styleId="114">
    <w:name w:val="_Style 112"/>
    <w:basedOn w:val="36"/>
    <w:uiPriority w:val="0"/>
    <w:rPr>
      <w:color w:val="000000"/>
      <w:sz w:val="24"/>
      <w:szCs w:val="24"/>
    </w:rPr>
    <w:tblPr>
      <w:tblCellMar>
        <w:left w:w="108" w:type="dxa"/>
        <w:right w:w="108" w:type="dxa"/>
      </w:tblCellMar>
    </w:tblPr>
  </w:style>
  <w:style w:type="table" w:customStyle="1" w:styleId="115">
    <w:name w:val="_Style 113"/>
    <w:basedOn w:val="36"/>
    <w:uiPriority w:val="0"/>
    <w:rPr>
      <w:color w:val="000000"/>
      <w:sz w:val="24"/>
      <w:szCs w:val="24"/>
    </w:rPr>
    <w:tblPr>
      <w:tblCellMar>
        <w:left w:w="108" w:type="dxa"/>
        <w:right w:w="108" w:type="dxa"/>
      </w:tblCellMar>
    </w:tblPr>
  </w:style>
  <w:style w:type="table" w:customStyle="1" w:styleId="116">
    <w:name w:val="_Style 114"/>
    <w:basedOn w:val="36"/>
    <w:uiPriority w:val="0"/>
    <w:rPr>
      <w:color w:val="000000"/>
      <w:sz w:val="24"/>
      <w:szCs w:val="24"/>
    </w:rPr>
    <w:tblPr>
      <w:tblCellMar>
        <w:left w:w="108" w:type="dxa"/>
        <w:right w:w="108" w:type="dxa"/>
      </w:tblCellMar>
    </w:tblPr>
  </w:style>
  <w:style w:type="table" w:customStyle="1" w:styleId="117">
    <w:name w:val="_Style 115"/>
    <w:basedOn w:val="36"/>
    <w:uiPriority w:val="0"/>
    <w:rPr>
      <w:color w:val="000000"/>
      <w:sz w:val="24"/>
      <w:szCs w:val="24"/>
    </w:rPr>
    <w:tblPr>
      <w:tblCellMar>
        <w:left w:w="108" w:type="dxa"/>
        <w:right w:w="108" w:type="dxa"/>
      </w:tblCellMar>
    </w:tblPr>
  </w:style>
  <w:style w:type="table" w:customStyle="1" w:styleId="118">
    <w:name w:val="_Style 116"/>
    <w:basedOn w:val="36"/>
    <w:uiPriority w:val="0"/>
    <w:rPr>
      <w:color w:val="000000"/>
      <w:sz w:val="24"/>
      <w:szCs w:val="24"/>
    </w:rPr>
    <w:tblPr>
      <w:tblCellMar>
        <w:left w:w="108" w:type="dxa"/>
        <w:right w:w="108" w:type="dxa"/>
      </w:tblCellMar>
    </w:tblPr>
  </w:style>
  <w:style w:type="table" w:customStyle="1" w:styleId="119">
    <w:name w:val="_Style 117"/>
    <w:basedOn w:val="36"/>
    <w:uiPriority w:val="0"/>
    <w:rPr>
      <w:color w:val="000000"/>
      <w:sz w:val="24"/>
      <w:szCs w:val="24"/>
    </w:rPr>
    <w:tblPr>
      <w:tblCellMar>
        <w:left w:w="108" w:type="dxa"/>
        <w:right w:w="108" w:type="dxa"/>
      </w:tblCellMar>
    </w:tblPr>
  </w:style>
  <w:style w:type="table" w:customStyle="1" w:styleId="120">
    <w:name w:val="_Style 118"/>
    <w:basedOn w:val="36"/>
    <w:uiPriority w:val="0"/>
    <w:rPr>
      <w:color w:val="000000"/>
      <w:sz w:val="24"/>
      <w:szCs w:val="24"/>
    </w:rPr>
    <w:tblPr>
      <w:tblCellMar>
        <w:left w:w="108" w:type="dxa"/>
        <w:right w:w="108" w:type="dxa"/>
      </w:tblCellMar>
    </w:tblPr>
  </w:style>
  <w:style w:type="table" w:customStyle="1" w:styleId="121">
    <w:name w:val="_Style 119"/>
    <w:basedOn w:val="36"/>
    <w:uiPriority w:val="0"/>
    <w:rPr>
      <w:color w:val="000000"/>
      <w:sz w:val="24"/>
      <w:szCs w:val="24"/>
    </w:rPr>
    <w:tblPr>
      <w:tblCellMar>
        <w:left w:w="108" w:type="dxa"/>
        <w:right w:w="108" w:type="dxa"/>
      </w:tblCellMar>
    </w:tblPr>
  </w:style>
  <w:style w:type="table" w:customStyle="1" w:styleId="122">
    <w:name w:val="_Style 120"/>
    <w:basedOn w:val="36"/>
    <w:uiPriority w:val="0"/>
    <w:rPr>
      <w:color w:val="000000"/>
      <w:sz w:val="24"/>
      <w:szCs w:val="24"/>
    </w:rPr>
    <w:tblPr>
      <w:tblCellMar>
        <w:left w:w="108" w:type="dxa"/>
        <w:right w:w="108" w:type="dxa"/>
      </w:tblCellMar>
    </w:tblPr>
  </w:style>
  <w:style w:type="table" w:customStyle="1" w:styleId="123">
    <w:name w:val="_Style 121"/>
    <w:basedOn w:val="36"/>
    <w:uiPriority w:val="0"/>
    <w:rPr>
      <w:color w:val="000000"/>
      <w:sz w:val="24"/>
      <w:szCs w:val="24"/>
    </w:rPr>
    <w:tblPr>
      <w:tblCellMar>
        <w:left w:w="108" w:type="dxa"/>
        <w:right w:w="108" w:type="dxa"/>
      </w:tblCellMar>
    </w:tblPr>
  </w:style>
  <w:style w:type="table" w:customStyle="1" w:styleId="124">
    <w:name w:val="_Style 122"/>
    <w:basedOn w:val="36"/>
    <w:uiPriority w:val="0"/>
    <w:rPr>
      <w:color w:val="000000"/>
      <w:sz w:val="24"/>
      <w:szCs w:val="24"/>
    </w:rPr>
    <w:tblPr>
      <w:tblCellMar>
        <w:left w:w="108" w:type="dxa"/>
        <w:right w:w="108" w:type="dxa"/>
      </w:tblCellMar>
    </w:tblPr>
  </w:style>
  <w:style w:type="table" w:customStyle="1" w:styleId="125">
    <w:name w:val="_Style 123"/>
    <w:basedOn w:val="36"/>
    <w:uiPriority w:val="0"/>
    <w:rPr>
      <w:color w:val="000000"/>
      <w:sz w:val="24"/>
      <w:szCs w:val="24"/>
    </w:rPr>
    <w:tblPr>
      <w:tblCellMar>
        <w:left w:w="108" w:type="dxa"/>
        <w:right w:w="108" w:type="dxa"/>
      </w:tblCellMar>
    </w:tblPr>
  </w:style>
  <w:style w:type="table" w:customStyle="1" w:styleId="126">
    <w:name w:val="_Style 124"/>
    <w:basedOn w:val="36"/>
    <w:uiPriority w:val="0"/>
    <w:rPr>
      <w:color w:val="000000"/>
      <w:sz w:val="24"/>
      <w:szCs w:val="24"/>
    </w:rPr>
    <w:tblPr>
      <w:tblCellMar>
        <w:left w:w="108" w:type="dxa"/>
        <w:right w:w="108" w:type="dxa"/>
      </w:tblCellMar>
    </w:tblPr>
  </w:style>
  <w:style w:type="table" w:customStyle="1" w:styleId="127">
    <w:name w:val="_Style 125"/>
    <w:basedOn w:val="36"/>
    <w:uiPriority w:val="0"/>
    <w:rPr>
      <w:color w:val="000000"/>
      <w:sz w:val="24"/>
      <w:szCs w:val="24"/>
    </w:rPr>
    <w:tblPr>
      <w:tblCellMar>
        <w:left w:w="108" w:type="dxa"/>
        <w:right w:w="108" w:type="dxa"/>
      </w:tblCellMar>
    </w:tblPr>
  </w:style>
  <w:style w:type="table" w:customStyle="1" w:styleId="128">
    <w:name w:val="_Style 126"/>
    <w:basedOn w:val="36"/>
    <w:uiPriority w:val="0"/>
    <w:rPr>
      <w:color w:val="000000"/>
      <w:sz w:val="24"/>
      <w:szCs w:val="24"/>
    </w:rPr>
    <w:tblPr>
      <w:tblCellMar>
        <w:left w:w="108" w:type="dxa"/>
        <w:right w:w="108" w:type="dxa"/>
      </w:tblCellMar>
    </w:tblPr>
  </w:style>
  <w:style w:type="table" w:customStyle="1" w:styleId="129">
    <w:name w:val="_Style 127"/>
    <w:basedOn w:val="36"/>
    <w:uiPriority w:val="0"/>
    <w:rPr>
      <w:color w:val="000000"/>
      <w:sz w:val="24"/>
      <w:szCs w:val="24"/>
    </w:rPr>
    <w:tblPr>
      <w:tblCellMar>
        <w:left w:w="108" w:type="dxa"/>
        <w:right w:w="108" w:type="dxa"/>
      </w:tblCellMar>
    </w:tblPr>
  </w:style>
  <w:style w:type="table" w:customStyle="1" w:styleId="130">
    <w:name w:val="_Style 128"/>
    <w:basedOn w:val="36"/>
    <w:uiPriority w:val="0"/>
    <w:rPr>
      <w:color w:val="000000"/>
      <w:sz w:val="24"/>
      <w:szCs w:val="24"/>
    </w:rPr>
    <w:tblPr>
      <w:tblCellMar>
        <w:left w:w="108" w:type="dxa"/>
        <w:right w:w="108" w:type="dxa"/>
      </w:tblCellMar>
    </w:tblPr>
  </w:style>
  <w:style w:type="table" w:customStyle="1" w:styleId="131">
    <w:name w:val="_Style 129"/>
    <w:basedOn w:val="36"/>
    <w:uiPriority w:val="0"/>
    <w:rPr>
      <w:color w:val="000000"/>
      <w:sz w:val="24"/>
      <w:szCs w:val="24"/>
    </w:rPr>
    <w:tblPr>
      <w:tblCellMar>
        <w:left w:w="108" w:type="dxa"/>
        <w:right w:w="108" w:type="dxa"/>
      </w:tblCellMar>
    </w:tblPr>
  </w:style>
  <w:style w:type="table" w:customStyle="1" w:styleId="132">
    <w:name w:val="_Style 130"/>
    <w:basedOn w:val="36"/>
    <w:uiPriority w:val="0"/>
    <w:rPr>
      <w:color w:val="000000"/>
      <w:sz w:val="24"/>
      <w:szCs w:val="24"/>
    </w:rPr>
    <w:tblPr>
      <w:tblCellMar>
        <w:left w:w="108" w:type="dxa"/>
        <w:right w:w="108" w:type="dxa"/>
      </w:tblCellMar>
    </w:tblPr>
  </w:style>
  <w:style w:type="table" w:customStyle="1" w:styleId="133">
    <w:name w:val="_Style 131"/>
    <w:basedOn w:val="36"/>
    <w:uiPriority w:val="0"/>
    <w:rPr>
      <w:color w:val="000000"/>
      <w:sz w:val="24"/>
      <w:szCs w:val="24"/>
    </w:rPr>
    <w:tblPr>
      <w:tblCellMar>
        <w:left w:w="108" w:type="dxa"/>
        <w:right w:w="108" w:type="dxa"/>
      </w:tblCellMar>
    </w:tblPr>
  </w:style>
  <w:style w:type="table" w:customStyle="1" w:styleId="134">
    <w:name w:val="_Style 132"/>
    <w:basedOn w:val="36"/>
    <w:uiPriority w:val="0"/>
    <w:rPr>
      <w:color w:val="000000"/>
      <w:sz w:val="24"/>
      <w:szCs w:val="24"/>
    </w:rPr>
    <w:tblPr>
      <w:tblCellMar>
        <w:left w:w="108" w:type="dxa"/>
        <w:right w:w="108" w:type="dxa"/>
      </w:tblCellMar>
    </w:tblPr>
  </w:style>
  <w:style w:type="table" w:customStyle="1" w:styleId="135">
    <w:name w:val="_Style 133"/>
    <w:basedOn w:val="36"/>
    <w:uiPriority w:val="0"/>
    <w:rPr>
      <w:color w:val="000000"/>
      <w:sz w:val="24"/>
      <w:szCs w:val="24"/>
    </w:rPr>
    <w:tblPr>
      <w:tblCellMar>
        <w:left w:w="108" w:type="dxa"/>
        <w:right w:w="108" w:type="dxa"/>
      </w:tblCellMar>
    </w:tblPr>
  </w:style>
  <w:style w:type="table" w:customStyle="1" w:styleId="136">
    <w:name w:val="_Style 134"/>
    <w:basedOn w:val="36"/>
    <w:uiPriority w:val="0"/>
    <w:rPr>
      <w:color w:val="000000"/>
      <w:sz w:val="24"/>
      <w:szCs w:val="24"/>
    </w:rPr>
    <w:tblPr>
      <w:tblCellMar>
        <w:left w:w="108" w:type="dxa"/>
        <w:right w:w="108" w:type="dxa"/>
      </w:tblCellMar>
    </w:tblPr>
  </w:style>
  <w:style w:type="table" w:customStyle="1" w:styleId="137">
    <w:name w:val="_Style 135"/>
    <w:basedOn w:val="36"/>
    <w:uiPriority w:val="0"/>
    <w:rPr>
      <w:color w:val="000000"/>
      <w:sz w:val="24"/>
      <w:szCs w:val="24"/>
    </w:rPr>
    <w:tblPr>
      <w:tblCellMar>
        <w:left w:w="108" w:type="dxa"/>
        <w:right w:w="108" w:type="dxa"/>
      </w:tblCellMar>
    </w:tblPr>
  </w:style>
  <w:style w:type="table" w:customStyle="1" w:styleId="138">
    <w:name w:val="_Style 136"/>
    <w:basedOn w:val="36"/>
    <w:uiPriority w:val="0"/>
    <w:rPr>
      <w:color w:val="000000"/>
      <w:sz w:val="24"/>
      <w:szCs w:val="24"/>
    </w:rPr>
    <w:tblPr>
      <w:tblCellMar>
        <w:left w:w="108" w:type="dxa"/>
        <w:right w:w="108" w:type="dxa"/>
      </w:tblCellMar>
    </w:tblPr>
  </w:style>
  <w:style w:type="table" w:customStyle="1" w:styleId="139">
    <w:name w:val="_Style 137"/>
    <w:basedOn w:val="36"/>
    <w:uiPriority w:val="0"/>
    <w:rPr>
      <w:color w:val="000000"/>
      <w:sz w:val="24"/>
      <w:szCs w:val="24"/>
    </w:rPr>
    <w:tblPr>
      <w:tblCellMar>
        <w:left w:w="108" w:type="dxa"/>
        <w:right w:w="108" w:type="dxa"/>
      </w:tblCellMar>
    </w:tblPr>
  </w:style>
  <w:style w:type="table" w:customStyle="1" w:styleId="140">
    <w:name w:val="_Style 138"/>
    <w:basedOn w:val="36"/>
    <w:uiPriority w:val="0"/>
    <w:rPr>
      <w:color w:val="000000"/>
      <w:sz w:val="24"/>
      <w:szCs w:val="24"/>
    </w:rPr>
    <w:tblPr>
      <w:tblCellMar>
        <w:left w:w="108" w:type="dxa"/>
        <w:right w:w="108" w:type="dxa"/>
      </w:tblCellMar>
    </w:tblPr>
  </w:style>
  <w:style w:type="table" w:customStyle="1" w:styleId="141">
    <w:name w:val="_Style 139"/>
    <w:basedOn w:val="36"/>
    <w:uiPriority w:val="0"/>
    <w:rPr>
      <w:color w:val="000000"/>
      <w:sz w:val="24"/>
      <w:szCs w:val="24"/>
    </w:rPr>
    <w:tblPr>
      <w:tblCellMar>
        <w:left w:w="108" w:type="dxa"/>
        <w:right w:w="108" w:type="dxa"/>
      </w:tblCellMar>
    </w:tblPr>
  </w:style>
  <w:style w:type="table" w:customStyle="1" w:styleId="142">
    <w:name w:val="_Style 140"/>
    <w:basedOn w:val="36"/>
    <w:uiPriority w:val="0"/>
    <w:rPr>
      <w:color w:val="000000"/>
      <w:sz w:val="24"/>
      <w:szCs w:val="24"/>
    </w:rPr>
    <w:tblPr>
      <w:tblCellMar>
        <w:left w:w="108" w:type="dxa"/>
        <w:right w:w="108" w:type="dxa"/>
      </w:tblCellMar>
    </w:tblPr>
  </w:style>
  <w:style w:type="table" w:customStyle="1" w:styleId="143">
    <w:name w:val="_Style 141"/>
    <w:basedOn w:val="36"/>
    <w:uiPriority w:val="0"/>
    <w:rPr>
      <w:color w:val="000000"/>
      <w:sz w:val="24"/>
      <w:szCs w:val="24"/>
    </w:rPr>
    <w:tblPr>
      <w:tblCellMar>
        <w:left w:w="108" w:type="dxa"/>
        <w:right w:w="108" w:type="dxa"/>
      </w:tblCellMar>
    </w:tblPr>
  </w:style>
  <w:style w:type="table" w:customStyle="1" w:styleId="144">
    <w:name w:val="_Style 142"/>
    <w:basedOn w:val="36"/>
    <w:uiPriority w:val="0"/>
    <w:rPr>
      <w:color w:val="000000"/>
      <w:sz w:val="24"/>
      <w:szCs w:val="24"/>
    </w:rPr>
    <w:tblPr>
      <w:tblCellMar>
        <w:left w:w="108" w:type="dxa"/>
        <w:right w:w="108" w:type="dxa"/>
      </w:tblCellMar>
    </w:tblPr>
  </w:style>
  <w:style w:type="table" w:customStyle="1" w:styleId="145">
    <w:name w:val="_Style 143"/>
    <w:basedOn w:val="36"/>
    <w:uiPriority w:val="0"/>
    <w:rPr>
      <w:color w:val="000000"/>
      <w:sz w:val="24"/>
      <w:szCs w:val="24"/>
    </w:rPr>
    <w:tblPr>
      <w:tblCellMar>
        <w:left w:w="108" w:type="dxa"/>
        <w:right w:w="108" w:type="dxa"/>
      </w:tblCellMar>
    </w:tblPr>
  </w:style>
  <w:style w:type="table" w:customStyle="1" w:styleId="146">
    <w:name w:val="_Style 144"/>
    <w:basedOn w:val="36"/>
    <w:uiPriority w:val="0"/>
    <w:rPr>
      <w:color w:val="000000"/>
      <w:sz w:val="24"/>
      <w:szCs w:val="24"/>
    </w:rPr>
    <w:tblPr>
      <w:tblCellMar>
        <w:left w:w="108" w:type="dxa"/>
        <w:right w:w="108" w:type="dxa"/>
      </w:tblCellMar>
    </w:tblPr>
  </w:style>
  <w:style w:type="table" w:customStyle="1" w:styleId="147">
    <w:name w:val="_Style 145"/>
    <w:basedOn w:val="36"/>
    <w:uiPriority w:val="0"/>
    <w:rPr>
      <w:color w:val="000000"/>
      <w:sz w:val="24"/>
      <w:szCs w:val="24"/>
    </w:rPr>
    <w:tblPr>
      <w:tblCellMar>
        <w:left w:w="108" w:type="dxa"/>
        <w:right w:w="108" w:type="dxa"/>
      </w:tblCellMar>
    </w:tblPr>
  </w:style>
  <w:style w:type="table" w:customStyle="1" w:styleId="148">
    <w:name w:val="_Style 146"/>
    <w:basedOn w:val="36"/>
    <w:uiPriority w:val="0"/>
    <w:rPr>
      <w:color w:val="000000"/>
      <w:sz w:val="24"/>
      <w:szCs w:val="24"/>
    </w:rPr>
    <w:tblPr>
      <w:tblCellMar>
        <w:left w:w="108" w:type="dxa"/>
        <w:right w:w="108" w:type="dxa"/>
      </w:tblCellMar>
    </w:tblPr>
  </w:style>
  <w:style w:type="table" w:customStyle="1" w:styleId="149">
    <w:name w:val="_Style 147"/>
    <w:basedOn w:val="36"/>
    <w:uiPriority w:val="0"/>
    <w:rPr>
      <w:color w:val="000000"/>
      <w:sz w:val="24"/>
      <w:szCs w:val="24"/>
    </w:rPr>
    <w:tblPr>
      <w:tblCellMar>
        <w:left w:w="108" w:type="dxa"/>
        <w:right w:w="108" w:type="dxa"/>
      </w:tblCellMar>
    </w:tblPr>
  </w:style>
  <w:style w:type="table" w:customStyle="1" w:styleId="150">
    <w:name w:val="_Style 148"/>
    <w:basedOn w:val="36"/>
    <w:uiPriority w:val="0"/>
    <w:rPr>
      <w:color w:val="000000"/>
      <w:sz w:val="24"/>
      <w:szCs w:val="24"/>
    </w:rPr>
    <w:tblPr>
      <w:tblCellMar>
        <w:left w:w="108" w:type="dxa"/>
        <w:right w:w="108" w:type="dxa"/>
      </w:tblCellMar>
    </w:tblPr>
  </w:style>
  <w:style w:type="table" w:customStyle="1" w:styleId="151">
    <w:name w:val="_Style 149"/>
    <w:basedOn w:val="36"/>
    <w:uiPriority w:val="0"/>
    <w:rPr>
      <w:color w:val="000000"/>
      <w:sz w:val="24"/>
      <w:szCs w:val="24"/>
    </w:rPr>
    <w:tblPr>
      <w:tblCellMar>
        <w:left w:w="108" w:type="dxa"/>
        <w:right w:w="108" w:type="dxa"/>
      </w:tblCellMar>
    </w:tblPr>
  </w:style>
  <w:style w:type="table" w:customStyle="1" w:styleId="152">
    <w:name w:val="_Style 150"/>
    <w:basedOn w:val="36"/>
    <w:uiPriority w:val="0"/>
    <w:rPr>
      <w:color w:val="000000"/>
      <w:sz w:val="24"/>
      <w:szCs w:val="24"/>
    </w:rPr>
    <w:tblPr>
      <w:tblCellMar>
        <w:left w:w="108" w:type="dxa"/>
        <w:right w:w="108" w:type="dxa"/>
      </w:tblCellMar>
    </w:tblPr>
  </w:style>
  <w:style w:type="table" w:customStyle="1" w:styleId="153">
    <w:name w:val="_Style 151"/>
    <w:basedOn w:val="36"/>
    <w:uiPriority w:val="0"/>
    <w:rPr>
      <w:color w:val="000000"/>
      <w:sz w:val="24"/>
      <w:szCs w:val="24"/>
    </w:rPr>
    <w:tblPr>
      <w:tblCellMar>
        <w:left w:w="108" w:type="dxa"/>
        <w:right w:w="108" w:type="dxa"/>
      </w:tblCellMar>
    </w:tblPr>
  </w:style>
  <w:style w:type="table" w:customStyle="1" w:styleId="154">
    <w:name w:val="_Style 152"/>
    <w:basedOn w:val="36"/>
    <w:uiPriority w:val="0"/>
    <w:rPr>
      <w:color w:val="000000"/>
      <w:sz w:val="24"/>
      <w:szCs w:val="24"/>
    </w:rPr>
    <w:tblPr>
      <w:tblCellMar>
        <w:left w:w="108" w:type="dxa"/>
        <w:right w:w="108" w:type="dxa"/>
      </w:tblCellMar>
    </w:tblPr>
  </w:style>
  <w:style w:type="table" w:customStyle="1" w:styleId="155">
    <w:name w:val="_Style 153"/>
    <w:basedOn w:val="36"/>
    <w:uiPriority w:val="0"/>
    <w:rPr>
      <w:color w:val="000000"/>
      <w:sz w:val="24"/>
      <w:szCs w:val="24"/>
    </w:rPr>
    <w:tblPr>
      <w:tblCellMar>
        <w:left w:w="108" w:type="dxa"/>
        <w:right w:w="108" w:type="dxa"/>
      </w:tblCellMar>
    </w:tblPr>
  </w:style>
  <w:style w:type="table" w:customStyle="1" w:styleId="156">
    <w:name w:val="_Style 154"/>
    <w:basedOn w:val="36"/>
    <w:uiPriority w:val="0"/>
    <w:tblPr>
      <w:tblCellMar>
        <w:left w:w="70" w:type="dxa"/>
        <w:right w:w="70" w:type="dxa"/>
      </w:tblCellMar>
    </w:tblPr>
  </w:style>
  <w:style w:type="table" w:customStyle="1" w:styleId="157">
    <w:name w:val="_Style 155"/>
    <w:basedOn w:val="36"/>
    <w:uiPriority w:val="0"/>
  </w:style>
  <w:style w:type="paragraph" w:customStyle="1" w:styleId="158">
    <w:name w:val="İçindekiler Stil"/>
    <w:basedOn w:val="1"/>
    <w:link w:val="160"/>
    <w:qFormat/>
    <w:uiPriority w:val="0"/>
    <w:pPr>
      <w:pBdr>
        <w:top w:val="none" w:color="auto" w:sz="0" w:space="0"/>
        <w:left w:val="none" w:color="auto" w:sz="0" w:space="0"/>
        <w:bottom w:val="none" w:color="auto" w:sz="0" w:space="0"/>
        <w:right w:val="none" w:color="auto" w:sz="0" w:space="0"/>
        <w:between w:val="none" w:color="auto" w:sz="0" w:space="0"/>
      </w:pBdr>
      <w:tabs>
        <w:tab w:val="right" w:pos="9358"/>
      </w:tabs>
      <w:spacing w:before="138"/>
      <w:ind w:left="608" w:hanging="269"/>
    </w:pPr>
  </w:style>
  <w:style w:type="paragraph" w:customStyle="1" w:styleId="159">
    <w:name w:val="Başlık2n"/>
    <w:basedOn w:val="2"/>
    <w:link w:val="162"/>
    <w:qFormat/>
    <w:uiPriority w:val="0"/>
    <w:pPr>
      <w:framePr w:hSpace="141" w:wrap="around" w:vAnchor="page" w:hAnchor="margin" w:xAlign="center" w:y="746"/>
      <w:spacing w:line="276" w:lineRule="auto"/>
      <w:jc w:val="right"/>
    </w:pPr>
    <w:rPr>
      <w:b w:val="0"/>
      <w:color w:val="7B0B4E"/>
      <w:sz w:val="28"/>
      <w:szCs w:val="28"/>
    </w:rPr>
  </w:style>
  <w:style w:type="character" w:customStyle="1" w:styleId="160">
    <w:name w:val="İçindekiler Stil Char"/>
    <w:basedOn w:val="8"/>
    <w:link w:val="158"/>
    <w:uiPriority w:val="0"/>
  </w:style>
  <w:style w:type="paragraph" w:customStyle="1" w:styleId="161">
    <w:name w:val="b1"/>
    <w:basedOn w:val="1"/>
    <w:link w:val="163"/>
    <w:qFormat/>
    <w:uiPriority w:val="0"/>
    <w:pPr>
      <w:framePr w:hSpace="141" w:wrap="around" w:vAnchor="page" w:hAnchor="margin" w:xAlign="center" w:y="671"/>
      <w:spacing w:line="276" w:lineRule="auto"/>
      <w:jc w:val="right"/>
    </w:pPr>
    <w:rPr>
      <w:rFonts w:ascii="CamberW04-Regular" w:hAnsi="CamberW04-Regular"/>
      <w:b/>
      <w:sz w:val="24"/>
      <w:szCs w:val="24"/>
    </w:rPr>
  </w:style>
  <w:style w:type="character" w:customStyle="1" w:styleId="162">
    <w:name w:val="Başlık2n Char"/>
    <w:basedOn w:val="8"/>
    <w:link w:val="159"/>
    <w:uiPriority w:val="0"/>
    <w:rPr>
      <w:rFonts w:ascii="CamberW04-Regular" w:hAnsi="CamberW04-Regular" w:eastAsia="Times New Roman"/>
      <w:bCs/>
      <w:color w:val="7B0B4E"/>
      <w:spacing w:val="-2"/>
      <w:sz w:val="28"/>
      <w:szCs w:val="28"/>
    </w:rPr>
  </w:style>
  <w:style w:type="character" w:customStyle="1" w:styleId="163">
    <w:name w:val="b1 Char"/>
    <w:basedOn w:val="8"/>
    <w:link w:val="161"/>
    <w:uiPriority w:val="0"/>
    <w:rPr>
      <w:rFonts w:ascii="CamberW04-Regular" w:hAnsi="CamberW04-Regular"/>
      <w:b/>
      <w:sz w:val="24"/>
      <w:szCs w:val="24"/>
    </w:rPr>
  </w:style>
  <w:style w:type="table" w:customStyle="1" w:styleId="164">
    <w:name w:val="Grid Table 4 Accent 3"/>
    <w:basedOn w:val="9"/>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165">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w64RW044yf04iibz3ABF9/Mmw==">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ogBAZoBBggAEAAYALABALgBARj2n/SEuzEg9p/0hLsxMABCN3N1Z2dlc3RJZEltcG9ydGFhMDE4MTg2LTc2NDAtNGYwMi04ZjIxLTc1ZGNkNmVmNGFjY18xNzYipgMKC0FBQUFfOXBuUUZrEs0CCgtBQUFBXzlwblFGaxILQUFBQV85cG5RRms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DSIAQGaAQYIABAAGACwAQC4AQEY/J/0hLsxIPyf9IS7MTAAQjdzdWdnZXN0SWRJbXBvcnRhYTAxODE4Ni03NjQwLTRmMDItOGYyMS03NWRjZDZlZjRhY2NfMTg0Iq8DCgtBQUFBXzlwblFLVRLWAgoLQUFBQV85cG5RS1USC0FBQUFfOXBuUUtV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NIgBAZoBBggAEAAYALABALgBARj1n/SEuzEg9Z/0hLsxMABCN3N1Z2dlc3RJZEltcG9ydGFhMDE4MTg2LTc2NDAtNGYwMi04ZjIxLTc1ZGNkNmVmNGFjY18xNTQipAMKC0FBQUFfOXBuUUpnEswCCgtBQUFBXzlwblFKZxILQUFBQV85cG5RSmc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NDmIAQGaAQYIABAAGACwAQC4AQEY+5/0hLsxIPuf9IS7MTAAQjZzdWdnZXN0SWRJbXBvcnRhYTAxODE4Ni03NjQwLTRmMDItOGYyMS03NWRjZDZlZjRhY2NfNDkipAMKC0FBQUFfOXBuUUtFEswCCgtBQUFBXzlwblFLRRILQUFBQV85cG5RS0U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zmIAQGaAQYIABAAGACwAQC4AQEY9J/0hLsxIPSf9IS7MTAAQjdzdWdnZXN0SWRJbXBvcnRhYTAxODE4Ni03NjQwLTRmMDItOGYyMS03NWRjZDZlZjRhY2NfMTM5Iq8DCgtBQUFBXzlwblFIZxLWAgoLQUFBQV85cG5RSGcSC0FBQUFfOXBuUUhn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customXml/itemProps3.xml><?xml version="1.0" encoding="utf-8"?>
<ds:datastoreItem xmlns:ds="http://schemas.openxmlformats.org/officeDocument/2006/customXml" ds:itemID="{F6D8AF8A-DA62-4B96-A939-E724641209F5}">
  <ds:schemaRefs/>
</ds:datastoreItem>
</file>

<file path=docProps/app.xml><?xml version="1.0" encoding="utf-8"?>
<Properties xmlns="http://schemas.openxmlformats.org/officeDocument/2006/extended-properties" xmlns:vt="http://schemas.openxmlformats.org/officeDocument/2006/docPropsVTypes">
  <Template>Normal</Template>
  <Pages>91</Pages>
  <Words>43488</Words>
  <Characters>247888</Characters>
  <Lines>2065</Lines>
  <Paragraphs>581</Paragraphs>
  <TotalTime>72</TotalTime>
  <ScaleCrop>false</ScaleCrop>
  <LinksUpToDate>false</LinksUpToDate>
  <CharactersWithSpaces>290795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2026-01-19T10:08:00Z</dcterms:created>
  <dc:creator>Mustafa ÇUFALI</dc:creator>
  <cp:lastModifiedBy>edery</cp:lastModifiedBy>
  <cp:lastPrinted>2024-02-21T12:50:00Z</cp:lastPrinted>
  <dcterms:modified xsi:type="dcterms:W3CDTF">2026-01-30T07:16:07Z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0x010100D3CB772137DC334FA5DBED7B20F40406</vt:lpwstr>
  </property>
  <property fmtid="{D5CDD505-2E9C-101B-9397-08002B2CF9AE}" pid="3" name="KSOProductBuildVer">
    <vt:lpwstr>1033-12.2.0.23155</vt:lpwstr>
  </property>
  <property fmtid="{D5CDD505-2E9C-101B-9397-08002B2CF9AE}" pid="4" name="ICV">
    <vt:lpwstr>335969F7FD7D4BC38EC2C761454084C8_13</vt:lpwstr>
  </property>
</Properties>
</file>